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586"/>
        <w:tblW w:w="10711" w:type="dxa"/>
        <w:tblLayout w:type="fixed"/>
        <w:tblLook w:val="04A0" w:firstRow="1" w:lastRow="0" w:firstColumn="1" w:lastColumn="0" w:noHBand="0" w:noVBand="1"/>
      </w:tblPr>
      <w:tblGrid>
        <w:gridCol w:w="1560"/>
        <w:gridCol w:w="2771"/>
        <w:gridCol w:w="2268"/>
        <w:gridCol w:w="1985"/>
        <w:gridCol w:w="2127"/>
      </w:tblGrid>
      <w:tr w:rsidR="00B143E5" w:rsidRPr="00E72F2D" w14:paraId="4F8209AA" w14:textId="77777777" w:rsidTr="00EE3BB8">
        <w:trPr>
          <w:trHeight w:val="1120"/>
        </w:trPr>
        <w:tc>
          <w:tcPr>
            <w:tcW w:w="1560" w:type="dxa"/>
            <w:shd w:val="clear" w:color="auto" w:fill="FFFFFF" w:themeFill="background1"/>
          </w:tcPr>
          <w:p w14:paraId="20277D1D" w14:textId="3CD824DA" w:rsidR="00B143E5" w:rsidRPr="00E72F2D" w:rsidRDefault="00B143E5" w:rsidP="004B5CD9">
            <w:pPr>
              <w:jc w:val="center"/>
              <w:rPr>
                <w:rFonts w:ascii="Helvetica" w:hAnsi="Helvetica"/>
                <w:b/>
                <w:bCs/>
                <w:color w:val="FFFFFF" w:themeColor="background1"/>
                <w:sz w:val="30"/>
                <w:szCs w:val="30"/>
              </w:rPr>
            </w:pPr>
          </w:p>
          <w:p w14:paraId="62B8C2AC" w14:textId="4B0A9E6E" w:rsidR="00B143E5" w:rsidRPr="00E72F2D" w:rsidRDefault="00B143E5" w:rsidP="00C0607B">
            <w:pPr>
              <w:rPr>
                <w:rFonts w:ascii="Helvetica" w:hAnsi="Helvetica"/>
                <w:b/>
                <w:bCs/>
                <w:color w:val="FFFFFF" w:themeColor="background1"/>
                <w:sz w:val="30"/>
                <w:szCs w:val="30"/>
              </w:rPr>
            </w:pPr>
            <w:r w:rsidRPr="00E72F2D">
              <w:rPr>
                <w:rFonts w:ascii="Helvetica" w:hAnsi="Helvetica" w:cs="Calibri"/>
                <w:noProof/>
                <w:color w:val="000000"/>
                <w:sz w:val="22"/>
                <w:szCs w:val="22"/>
                <w:bdr w:val="none" w:sz="0" w:space="0" w:color="auto" w:frame="1"/>
              </w:rPr>
              <w:drawing>
                <wp:inline distT="0" distB="0" distL="0" distR="0" wp14:anchorId="02556CFE" wp14:editId="469D8002">
                  <wp:extent cx="873843" cy="485635"/>
                  <wp:effectExtent l="0" t="0" r="2540" b="0"/>
                  <wp:docPr id="877114798"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14798" name="Image 1" descr="Une image contenant Graphique, Police, graphisme, capture d’écra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186" cy="490272"/>
                          </a:xfrm>
                          <a:prstGeom prst="rect">
                            <a:avLst/>
                          </a:prstGeom>
                          <a:noFill/>
                          <a:ln>
                            <a:noFill/>
                          </a:ln>
                        </pic:spPr>
                      </pic:pic>
                    </a:graphicData>
                  </a:graphic>
                </wp:inline>
              </w:drawing>
            </w:r>
          </w:p>
        </w:tc>
        <w:tc>
          <w:tcPr>
            <w:tcW w:w="2771" w:type="dxa"/>
            <w:shd w:val="clear" w:color="auto" w:fill="FFFFFF" w:themeFill="background1"/>
          </w:tcPr>
          <w:p w14:paraId="22B255DB" w14:textId="0BED02E0" w:rsidR="00B143E5" w:rsidRDefault="00B143E5" w:rsidP="004B5CD9">
            <w:pPr>
              <w:jc w:val="right"/>
              <w:rPr>
                <w:rFonts w:ascii="Helvetica" w:hAnsi="Helvetica"/>
                <w:b/>
                <w:bCs/>
                <w:sz w:val="22"/>
                <w:szCs w:val="22"/>
              </w:rPr>
            </w:pPr>
          </w:p>
          <w:p w14:paraId="31F5C5AA" w14:textId="6D92E3C3" w:rsidR="00B143E5" w:rsidRDefault="00B143E5" w:rsidP="00C0607B">
            <w:pPr>
              <w:rPr>
                <w:rFonts w:ascii="Helvetica" w:hAnsi="Helvetica"/>
                <w:b/>
                <w:bCs/>
                <w:sz w:val="22"/>
                <w:szCs w:val="22"/>
              </w:rPr>
            </w:pPr>
          </w:p>
        </w:tc>
        <w:tc>
          <w:tcPr>
            <w:tcW w:w="2268" w:type="dxa"/>
            <w:shd w:val="clear" w:color="auto" w:fill="FFFFFF" w:themeFill="background1"/>
          </w:tcPr>
          <w:p w14:paraId="0BE40B3B" w14:textId="77777777" w:rsidR="00B143E5" w:rsidRDefault="00B143E5" w:rsidP="000561C4">
            <w:pPr>
              <w:jc w:val="center"/>
              <w:rPr>
                <w:rFonts w:ascii="Helvetica" w:hAnsi="Helvetica"/>
                <w:sz w:val="20"/>
                <w:szCs w:val="20"/>
                <w:highlight w:val="yellow"/>
              </w:rPr>
            </w:pPr>
          </w:p>
          <w:p w14:paraId="0CBB9509" w14:textId="77777777" w:rsidR="00B143E5" w:rsidRDefault="00B143E5" w:rsidP="000561C4">
            <w:pPr>
              <w:jc w:val="center"/>
              <w:rPr>
                <w:rFonts w:ascii="Helvetica" w:hAnsi="Helvetica"/>
                <w:sz w:val="20"/>
                <w:szCs w:val="20"/>
                <w:highlight w:val="yellow"/>
              </w:rPr>
            </w:pPr>
          </w:p>
          <w:p w14:paraId="4B3E6FB6" w14:textId="42F555DD" w:rsidR="00B143E5" w:rsidRDefault="00D56E53" w:rsidP="000561C4">
            <w:pPr>
              <w:jc w:val="center"/>
              <w:rPr>
                <w:rFonts w:ascii="Helvetica" w:hAnsi="Helvetica"/>
                <w:b/>
                <w:bCs/>
                <w:sz w:val="22"/>
                <w:szCs w:val="22"/>
              </w:rPr>
            </w:pPr>
            <w:r>
              <w:rPr>
                <w:noProof/>
              </w:rPr>
              <w:drawing>
                <wp:inline distT="0" distB="0" distL="0" distR="0" wp14:anchorId="3264CC4A" wp14:editId="6E7EB44E">
                  <wp:extent cx="1442293" cy="683895"/>
                  <wp:effectExtent l="0" t="0" r="5715" b="1905"/>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213" cy="716575"/>
                          </a:xfrm>
                          <a:prstGeom prst="rect">
                            <a:avLst/>
                          </a:prstGeom>
                          <a:noFill/>
                          <a:ln>
                            <a:noFill/>
                          </a:ln>
                        </pic:spPr>
                      </pic:pic>
                    </a:graphicData>
                  </a:graphic>
                </wp:inline>
              </w:drawing>
            </w:r>
          </w:p>
        </w:tc>
        <w:tc>
          <w:tcPr>
            <w:tcW w:w="1985" w:type="dxa"/>
            <w:shd w:val="clear" w:color="auto" w:fill="FFFFFF" w:themeFill="background1"/>
          </w:tcPr>
          <w:p w14:paraId="7746B622" w14:textId="77777777" w:rsidR="00D0025C" w:rsidRDefault="00D0025C" w:rsidP="00D0025C">
            <w:pPr>
              <w:jc w:val="center"/>
              <w:rPr>
                <w:rFonts w:ascii="Helvetica" w:hAnsi="Helvetica"/>
                <w:sz w:val="20"/>
                <w:szCs w:val="20"/>
                <w:highlight w:val="yellow"/>
              </w:rPr>
            </w:pPr>
          </w:p>
          <w:p w14:paraId="45F3CE13" w14:textId="77777777" w:rsidR="00D0025C" w:rsidRDefault="00D0025C" w:rsidP="00D0025C">
            <w:pPr>
              <w:jc w:val="center"/>
              <w:rPr>
                <w:rFonts w:ascii="Helvetica" w:hAnsi="Helvetica"/>
                <w:sz w:val="20"/>
                <w:szCs w:val="20"/>
                <w:highlight w:val="yellow"/>
              </w:rPr>
            </w:pPr>
          </w:p>
          <w:p w14:paraId="0B9DBED7" w14:textId="77777777" w:rsidR="00B143E5" w:rsidRDefault="00B143E5" w:rsidP="00D56E53">
            <w:pPr>
              <w:jc w:val="center"/>
              <w:rPr>
                <w:rFonts w:ascii="Helvetica" w:hAnsi="Helvetica"/>
                <w:b/>
                <w:bCs/>
                <w:sz w:val="22"/>
                <w:szCs w:val="22"/>
              </w:rPr>
            </w:pPr>
          </w:p>
        </w:tc>
        <w:tc>
          <w:tcPr>
            <w:tcW w:w="2127" w:type="dxa"/>
            <w:shd w:val="clear" w:color="auto" w:fill="FFFFFF" w:themeFill="background1"/>
          </w:tcPr>
          <w:p w14:paraId="1290659A" w14:textId="550067DF" w:rsidR="00B143E5" w:rsidRDefault="00B143E5" w:rsidP="004B5CD9">
            <w:pPr>
              <w:jc w:val="right"/>
              <w:rPr>
                <w:rFonts w:ascii="Helvetica" w:hAnsi="Helvetica"/>
                <w:b/>
                <w:bCs/>
                <w:sz w:val="22"/>
                <w:szCs w:val="22"/>
              </w:rPr>
            </w:pPr>
          </w:p>
          <w:p w14:paraId="0DA4775A" w14:textId="051BA3D4" w:rsidR="00B143E5" w:rsidRDefault="00D56E53" w:rsidP="004B5CD9">
            <w:pPr>
              <w:jc w:val="center"/>
            </w:pPr>
            <w:r>
              <w:rPr>
                <w:noProof/>
              </w:rPr>
              <w:drawing>
                <wp:inline distT="0" distB="0" distL="0" distR="0" wp14:anchorId="1068B6FD" wp14:editId="641AAD7E">
                  <wp:extent cx="1213485" cy="427355"/>
                  <wp:effectExtent l="0" t="0" r="5715"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rotWithShape="1">
                          <a:blip r:embed="rId13" cstate="print">
                            <a:extLst>
                              <a:ext uri="{28A0092B-C50C-407E-A947-70E740481C1C}">
                                <a14:useLocalDpi xmlns:a14="http://schemas.microsoft.com/office/drawing/2010/main" val="0"/>
                              </a:ext>
                            </a:extLst>
                          </a:blip>
                          <a:srcRect l="13234" t="16879" r="41206" b="18981"/>
                          <a:stretch/>
                        </pic:blipFill>
                        <pic:spPr bwMode="auto">
                          <a:xfrm>
                            <a:off x="0" y="0"/>
                            <a:ext cx="1219672" cy="429534"/>
                          </a:xfrm>
                          <a:prstGeom prst="rect">
                            <a:avLst/>
                          </a:prstGeom>
                          <a:ln>
                            <a:noFill/>
                          </a:ln>
                          <a:extLst>
                            <a:ext uri="{53640926-AAD7-44D8-BBD7-CCE9431645EC}">
                              <a14:shadowObscured xmlns:a14="http://schemas.microsoft.com/office/drawing/2010/main"/>
                            </a:ext>
                          </a:extLst>
                        </pic:spPr>
                      </pic:pic>
                    </a:graphicData>
                  </a:graphic>
                </wp:inline>
              </w:drawing>
            </w:r>
          </w:p>
          <w:p w14:paraId="023BE9B9" w14:textId="798361A7" w:rsidR="00B143E5" w:rsidRPr="00E52147" w:rsidRDefault="00B143E5" w:rsidP="003B341D">
            <w:pPr>
              <w:rPr>
                <w:rFonts w:ascii="Helvetica" w:hAnsi="Helvetica"/>
                <w:b/>
                <w:bCs/>
                <w:sz w:val="22"/>
                <w:szCs w:val="22"/>
              </w:rPr>
            </w:pPr>
            <w:r>
              <w:fldChar w:fldCharType="begin"/>
            </w:r>
            <w:r>
              <w:instrText xml:space="preserve"> INCLUDEPICTURE "https://associationrqc.ca/wp-content/uploads/2023/02/Allianz-logo-vector.png" \* MERGEFORMATINET </w:instrText>
            </w:r>
            <w:r>
              <w:fldChar w:fldCharType="separate"/>
            </w:r>
            <w:r>
              <w:fldChar w:fldCharType="end"/>
            </w:r>
          </w:p>
        </w:tc>
      </w:tr>
      <w:tr w:rsidR="00B143E5" w:rsidRPr="00E72F2D" w14:paraId="2F0C8843" w14:textId="77777777" w:rsidTr="00EE3BB8">
        <w:tc>
          <w:tcPr>
            <w:tcW w:w="10711" w:type="dxa"/>
            <w:gridSpan w:val="5"/>
            <w:shd w:val="clear" w:color="auto" w:fill="FFFFFF" w:themeFill="background1"/>
          </w:tcPr>
          <w:p w14:paraId="00DA4ACC" w14:textId="7DF0A368" w:rsidR="00B143E5" w:rsidRPr="007D581B" w:rsidRDefault="00B143E5" w:rsidP="004B5CD9">
            <w:pPr>
              <w:ind w:right="32"/>
              <w:jc w:val="right"/>
              <w:rPr>
                <w:rFonts w:ascii="Helvetica" w:hAnsi="Helvetica"/>
                <w:b/>
                <w:bCs/>
                <w:sz w:val="22"/>
                <w:szCs w:val="22"/>
              </w:rPr>
            </w:pPr>
            <w:r w:rsidRPr="007D581B">
              <w:rPr>
                <w:rFonts w:ascii="Helvetica" w:hAnsi="Helvetica"/>
                <w:b/>
                <w:bCs/>
                <w:sz w:val="22"/>
                <w:szCs w:val="22"/>
              </w:rPr>
              <w:t>COMMUNIQUÉ DE PRESSE</w:t>
            </w:r>
          </w:p>
          <w:p w14:paraId="5EE8806D" w14:textId="671F50A4" w:rsidR="00B143E5" w:rsidRDefault="00B143E5" w:rsidP="004B5CD9">
            <w:pPr>
              <w:jc w:val="right"/>
              <w:rPr>
                <w:rFonts w:ascii="Helvetica" w:hAnsi="Helvetica"/>
                <w:sz w:val="20"/>
                <w:szCs w:val="20"/>
              </w:rPr>
            </w:pPr>
            <w:r>
              <w:rPr>
                <w:rFonts w:ascii="Helvetica" w:hAnsi="Helvetica"/>
                <w:sz w:val="20"/>
                <w:szCs w:val="20"/>
              </w:rPr>
              <w:t>Paris</w:t>
            </w:r>
            <w:r w:rsidRPr="007D581B">
              <w:rPr>
                <w:rFonts w:ascii="Helvetica" w:hAnsi="Helvetica"/>
                <w:sz w:val="20"/>
                <w:szCs w:val="20"/>
              </w:rPr>
              <w:t xml:space="preserve">, le </w:t>
            </w:r>
            <w:r w:rsidR="00312798" w:rsidRPr="00312798">
              <w:rPr>
                <w:rFonts w:ascii="Helvetica" w:hAnsi="Helvetica"/>
                <w:sz w:val="20"/>
                <w:szCs w:val="20"/>
                <w:highlight w:val="yellow"/>
              </w:rPr>
              <w:t>2</w:t>
            </w:r>
            <w:r>
              <w:rPr>
                <w:rFonts w:ascii="Helvetica" w:hAnsi="Helvetica"/>
                <w:sz w:val="20"/>
                <w:szCs w:val="20"/>
              </w:rPr>
              <w:t xml:space="preserve"> juillet</w:t>
            </w:r>
            <w:r w:rsidRPr="007D581B">
              <w:rPr>
                <w:rFonts w:ascii="Helvetica" w:hAnsi="Helvetica"/>
                <w:sz w:val="20"/>
                <w:szCs w:val="20"/>
              </w:rPr>
              <w:t xml:space="preserve"> 202</w:t>
            </w:r>
            <w:r>
              <w:rPr>
                <w:rFonts w:ascii="Helvetica" w:hAnsi="Helvetica"/>
                <w:sz w:val="20"/>
                <w:szCs w:val="20"/>
              </w:rPr>
              <w:t>6</w:t>
            </w:r>
          </w:p>
          <w:p w14:paraId="5B06CDA8" w14:textId="6EB791AD" w:rsidR="00B143E5" w:rsidRPr="00920DF8" w:rsidRDefault="00B143E5" w:rsidP="00410C9C">
            <w:pPr>
              <w:ind w:right="400"/>
              <w:rPr>
                <w:rFonts w:ascii="Helvetica" w:hAnsi="Helvetica"/>
                <w:sz w:val="20"/>
                <w:szCs w:val="20"/>
              </w:rPr>
            </w:pPr>
          </w:p>
        </w:tc>
      </w:tr>
      <w:tr w:rsidR="00B143E5" w:rsidRPr="00E72F2D" w14:paraId="140A389E" w14:textId="77777777" w:rsidTr="00EE3BB8">
        <w:trPr>
          <w:trHeight w:val="581"/>
        </w:trPr>
        <w:tc>
          <w:tcPr>
            <w:tcW w:w="10711" w:type="dxa"/>
            <w:gridSpan w:val="5"/>
            <w:shd w:val="clear" w:color="auto" w:fill="5E0352"/>
          </w:tcPr>
          <w:p w14:paraId="1F58282E" w14:textId="60A962CC" w:rsidR="00B143E5" w:rsidRPr="00C0607B" w:rsidRDefault="00B143E5" w:rsidP="00C0607B">
            <w:pPr>
              <w:pStyle w:val="NormalWeb"/>
              <w:spacing w:before="120" w:beforeAutospacing="0" w:after="120" w:afterAutospacing="0"/>
              <w:jc w:val="center"/>
              <w:rPr>
                <w:rFonts w:ascii="Aptos" w:hAnsi="Aptos"/>
                <w:color w:val="000000"/>
              </w:rPr>
            </w:pPr>
            <w:r w:rsidRPr="00C0607B">
              <w:rPr>
                <w:rFonts w:ascii="Helvetica" w:eastAsiaTheme="minorEastAsia" w:hAnsi="Helvetica" w:cstheme="minorBidi"/>
                <w:b/>
                <w:bCs/>
                <w:color w:val="FFFFFF" w:themeColor="background1"/>
                <w:kern w:val="2"/>
                <w:sz w:val="28"/>
                <w:szCs w:val="28"/>
                <w14:ligatures w14:val="standardContextual"/>
              </w:rPr>
              <w:t>La Cour des comptes renouvelle son partenariat pédagogique avec l'École polytechnique, l'ENSAE Paris et Télécom Paris</w:t>
            </w:r>
          </w:p>
        </w:tc>
      </w:tr>
      <w:tr w:rsidR="00B143E5" w:rsidRPr="00E72F2D" w14:paraId="46A98DB3" w14:textId="77777777" w:rsidTr="00694638">
        <w:trPr>
          <w:trHeight w:val="8506"/>
        </w:trPr>
        <w:tc>
          <w:tcPr>
            <w:tcW w:w="10711" w:type="dxa"/>
            <w:gridSpan w:val="5"/>
          </w:tcPr>
          <w:p w14:paraId="3E074361" w14:textId="30171378" w:rsidR="00B143E5" w:rsidRDefault="00B143E5" w:rsidP="004B5CD9">
            <w:pPr>
              <w:jc w:val="both"/>
              <w:rPr>
                <w:rFonts w:ascii="Helvetica" w:hAnsi="Helvetica"/>
                <w:b/>
                <w:bCs/>
              </w:rPr>
            </w:pPr>
          </w:p>
          <w:p w14:paraId="0A1F5DD5" w14:textId="7A56585F" w:rsidR="00B143E5" w:rsidRDefault="00B143E5" w:rsidP="00E3506F">
            <w:pPr>
              <w:pStyle w:val="NormalWeb"/>
              <w:spacing w:before="0" w:beforeAutospacing="0" w:after="0" w:afterAutospacing="0"/>
              <w:jc w:val="both"/>
              <w:rPr>
                <w:rFonts w:ascii="Helvetica" w:eastAsiaTheme="minorEastAsia" w:hAnsi="Helvetica" w:cstheme="minorBidi"/>
                <w:b/>
                <w:bCs/>
                <w:kern w:val="2"/>
                <w:sz w:val="22"/>
                <w:szCs w:val="22"/>
                <w14:ligatures w14:val="standardContextual"/>
              </w:rPr>
            </w:pPr>
            <w:r w:rsidRPr="00460594">
              <w:rPr>
                <w:rFonts w:ascii="Helvetica" w:eastAsiaTheme="minorEastAsia" w:hAnsi="Helvetica" w:cstheme="minorBidi"/>
                <w:b/>
                <w:bCs/>
                <w:kern w:val="2"/>
                <w:sz w:val="22"/>
                <w:szCs w:val="22"/>
                <w14:ligatures w14:val="standardContextual"/>
              </w:rPr>
              <w:t>Trois ans après la signature de leur premier partenariat pédagogique, la Cour des comptes, l'École polytechnique, l'ENSAE Paris et Télécom Paris renouvellent leur engagement en faveur de la formation des futurs experts de l'évaluation des politiques publiques. Ce renouvellement s'appuie sur le succès d'une collaboration qui a permis de renforcer les liens entre le monde académique et les institutions publiques.</w:t>
            </w:r>
          </w:p>
          <w:p w14:paraId="4A1D01DC" w14:textId="77777777" w:rsidR="000C6FB2" w:rsidRDefault="000C6FB2" w:rsidP="00E3506F">
            <w:pPr>
              <w:pStyle w:val="NormalWeb"/>
              <w:spacing w:before="0" w:beforeAutospacing="0" w:after="0" w:afterAutospacing="0"/>
              <w:jc w:val="both"/>
              <w:rPr>
                <w:rFonts w:ascii="Helvetica" w:eastAsiaTheme="minorEastAsia" w:hAnsi="Helvetica" w:cstheme="minorBidi"/>
                <w:b/>
                <w:bCs/>
                <w:kern w:val="2"/>
                <w:sz w:val="22"/>
                <w:szCs w:val="22"/>
                <w14:ligatures w14:val="standardContextual"/>
              </w:rPr>
            </w:pPr>
          </w:p>
          <w:p w14:paraId="2263147D" w14:textId="4DCAC54A" w:rsidR="000C6FB2" w:rsidRDefault="000C6FB2" w:rsidP="000C6FB2">
            <w:pPr>
              <w:pStyle w:val="NormalWeb"/>
              <w:spacing w:before="0" w:beforeAutospacing="0" w:after="0" w:afterAutospacing="0"/>
              <w:jc w:val="center"/>
              <w:rPr>
                <w:rFonts w:ascii="Helvetica" w:eastAsiaTheme="minorEastAsia" w:hAnsi="Helvetica" w:cstheme="minorBidi"/>
                <w:b/>
                <w:bCs/>
                <w:kern w:val="2"/>
                <w:sz w:val="22"/>
                <w:szCs w:val="22"/>
                <w14:ligatures w14:val="standardContextual"/>
              </w:rPr>
            </w:pPr>
            <w:r w:rsidRPr="000C6FB2">
              <w:rPr>
                <w:rFonts w:ascii="Helvetica" w:eastAsiaTheme="minorEastAsia" w:hAnsi="Helvetica" w:cstheme="minorBidi"/>
                <w:b/>
                <w:bCs/>
                <w:kern w:val="2"/>
                <w:sz w:val="22"/>
                <w:szCs w:val="22"/>
                <w:highlight w:val="yellow"/>
                <w14:ligatures w14:val="standardContextual"/>
              </w:rPr>
              <w:t>Photo légendée de la signature officielle</w:t>
            </w:r>
          </w:p>
          <w:p w14:paraId="05FA8AB7" w14:textId="56B1395C" w:rsidR="009626E5" w:rsidRPr="00EE4BC4" w:rsidRDefault="009626E5" w:rsidP="000C6FB2">
            <w:pPr>
              <w:pStyle w:val="NormalWeb"/>
              <w:spacing w:before="0" w:beforeAutospacing="0" w:after="0" w:afterAutospacing="0"/>
              <w:jc w:val="center"/>
              <w:rPr>
                <w:rFonts w:ascii="Aptos" w:hAnsi="Aptos"/>
                <w:color w:val="000000"/>
                <w:sz w:val="16"/>
                <w:szCs w:val="16"/>
              </w:rPr>
            </w:pPr>
            <w:r w:rsidRPr="00EE4BC4">
              <w:rPr>
                <w:rFonts w:ascii="Helvetica" w:eastAsiaTheme="minorEastAsia" w:hAnsi="Helvetica" w:cstheme="minorBidi"/>
                <w:kern w:val="2"/>
                <w:sz w:val="16"/>
                <w:szCs w:val="16"/>
                <w14:ligatures w14:val="standardContextual"/>
              </w:rPr>
              <w:t xml:space="preserve">De gauche à droite, Bertrand David (Telecom Paris) Dominique Rossin (Ecole polytechnique) Amélie de </w:t>
            </w:r>
            <w:proofErr w:type="spellStart"/>
            <w:r w:rsidRPr="00EE4BC4">
              <w:rPr>
                <w:rFonts w:ascii="Helvetica" w:eastAsiaTheme="minorEastAsia" w:hAnsi="Helvetica" w:cstheme="minorBidi"/>
                <w:kern w:val="2"/>
                <w:sz w:val="16"/>
                <w:szCs w:val="16"/>
                <w14:ligatures w14:val="standardContextual"/>
              </w:rPr>
              <w:t>Montchalin</w:t>
            </w:r>
            <w:proofErr w:type="spellEnd"/>
            <w:r w:rsidRPr="00EE4BC4">
              <w:rPr>
                <w:rFonts w:ascii="Helvetica" w:eastAsiaTheme="minorEastAsia" w:hAnsi="Helvetica" w:cstheme="minorBidi"/>
                <w:kern w:val="2"/>
                <w:sz w:val="16"/>
                <w:szCs w:val="16"/>
                <w14:ligatures w14:val="standardContextual"/>
              </w:rPr>
              <w:t xml:space="preserve"> (Cour des comptes) et Catherine Gaudy (Groupe ENSAE-ENSAI)</w:t>
            </w:r>
            <w:r w:rsidR="00C06F09" w:rsidRPr="00EE4BC4">
              <w:rPr>
                <w:rFonts w:ascii="Helvetica" w:eastAsiaTheme="minorEastAsia" w:hAnsi="Helvetica" w:cstheme="minorBidi"/>
                <w:kern w:val="2"/>
                <w:sz w:val="16"/>
                <w:szCs w:val="16"/>
                <w14:ligatures w14:val="standardContextual"/>
              </w:rPr>
              <w:t>. Crédits :</w:t>
            </w:r>
            <w:r w:rsidR="00EE4BC4">
              <w:rPr>
                <w:rFonts w:ascii="Helvetica" w:eastAsiaTheme="minorEastAsia" w:hAnsi="Helvetica" w:cstheme="minorBidi"/>
                <w:kern w:val="2"/>
                <w:sz w:val="16"/>
                <w:szCs w:val="16"/>
                <w14:ligatures w14:val="standardContextual"/>
              </w:rPr>
              <w:t xml:space="preserve"> </w:t>
            </w:r>
            <w:r w:rsidR="00C06F09" w:rsidRPr="00EE4BC4">
              <w:rPr>
                <w:rFonts w:ascii="Helvetica" w:eastAsiaTheme="minorEastAsia" w:hAnsi="Helvetica" w:cstheme="minorBidi"/>
                <w:kern w:val="2"/>
                <w:sz w:val="16"/>
                <w:szCs w:val="16"/>
                <w14:ligatures w14:val="standardContextual"/>
              </w:rPr>
              <w:t>Groupe ENSAE-ENSAI</w:t>
            </w:r>
          </w:p>
          <w:p w14:paraId="705F7796"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w:t>
            </w:r>
          </w:p>
          <w:p w14:paraId="197BB313"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xml:space="preserve">Conclu en 2023 autour du Master of Science and </w:t>
            </w:r>
            <w:proofErr w:type="spellStart"/>
            <w:r w:rsidRPr="007A4F10">
              <w:rPr>
                <w:rFonts w:ascii="Helvetica" w:eastAsiaTheme="minorEastAsia" w:hAnsi="Helvetica" w:cstheme="minorBidi"/>
                <w:kern w:val="2"/>
                <w:sz w:val="22"/>
                <w:szCs w:val="22"/>
                <w14:ligatures w14:val="standardContextual"/>
              </w:rPr>
              <w:t>Technology</w:t>
            </w:r>
            <w:proofErr w:type="spellEnd"/>
            <w:r w:rsidRPr="007A4F10">
              <w:rPr>
                <w:rFonts w:ascii="Helvetica" w:eastAsiaTheme="minorEastAsia" w:hAnsi="Helvetica" w:cstheme="minorBidi"/>
                <w:kern w:val="2"/>
                <w:sz w:val="22"/>
                <w:szCs w:val="22"/>
                <w14:ligatures w14:val="standardContextual"/>
              </w:rPr>
              <w:t xml:space="preserve"> (</w:t>
            </w:r>
            <w:proofErr w:type="spellStart"/>
            <w:r w:rsidRPr="007A4F10">
              <w:rPr>
                <w:rFonts w:ascii="Helvetica" w:eastAsiaTheme="minorEastAsia" w:hAnsi="Helvetica" w:cstheme="minorBidi"/>
                <w:kern w:val="2"/>
                <w:sz w:val="22"/>
                <w:szCs w:val="22"/>
                <w14:ligatures w14:val="standardContextual"/>
              </w:rPr>
              <w:t>MScT</w:t>
            </w:r>
            <w:proofErr w:type="spellEnd"/>
            <w:r w:rsidRPr="007A4F10">
              <w:rPr>
                <w:rFonts w:ascii="Helvetica" w:eastAsiaTheme="minorEastAsia" w:hAnsi="Helvetica" w:cstheme="minorBidi"/>
                <w:kern w:val="2"/>
                <w:sz w:val="22"/>
                <w:szCs w:val="22"/>
                <w14:ligatures w14:val="standardContextual"/>
              </w:rPr>
              <w:t xml:space="preserve">) Data and </w:t>
            </w:r>
            <w:proofErr w:type="spellStart"/>
            <w:r w:rsidRPr="007A4F10">
              <w:rPr>
                <w:rFonts w:ascii="Helvetica" w:eastAsiaTheme="minorEastAsia" w:hAnsi="Helvetica" w:cstheme="minorBidi"/>
                <w:kern w:val="2"/>
                <w:sz w:val="22"/>
                <w:szCs w:val="22"/>
                <w14:ligatures w14:val="standardContextual"/>
              </w:rPr>
              <w:t>Economics</w:t>
            </w:r>
            <w:proofErr w:type="spellEnd"/>
            <w:r w:rsidRPr="007A4F10">
              <w:rPr>
                <w:rFonts w:ascii="Helvetica" w:eastAsiaTheme="minorEastAsia" w:hAnsi="Helvetica" w:cstheme="minorBidi"/>
                <w:kern w:val="2"/>
                <w:sz w:val="22"/>
                <w:szCs w:val="22"/>
                <w14:ligatures w14:val="standardContextual"/>
              </w:rPr>
              <w:t xml:space="preserve"> for Public Policy, ce partenariat avait pour ambition de rapprocher les compétences en science des données, économie et évaluation des politiques publiques afin de former une nouvelle génération d'experts capables d'éclairer la décision publique.</w:t>
            </w:r>
          </w:p>
          <w:p w14:paraId="3991A3DD"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w:t>
            </w:r>
          </w:p>
          <w:p w14:paraId="23482576"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xml:space="preserve">Depuis son lancement, ce partenariat a donné lieu à des réalisations concrètes qui témoignent de sa réussite. Chaque année, la Cour des comptes a accueilli une Lecture </w:t>
            </w:r>
            <w:proofErr w:type="spellStart"/>
            <w:r w:rsidRPr="007A4F10">
              <w:rPr>
                <w:rFonts w:ascii="Helvetica" w:eastAsiaTheme="minorEastAsia" w:hAnsi="Helvetica" w:cstheme="minorBidi"/>
                <w:kern w:val="2"/>
                <w:sz w:val="22"/>
                <w:szCs w:val="22"/>
                <w14:ligatures w14:val="standardContextual"/>
              </w:rPr>
              <w:t>Series</w:t>
            </w:r>
            <w:proofErr w:type="spellEnd"/>
            <w:r w:rsidRPr="007A4F10">
              <w:rPr>
                <w:rFonts w:ascii="Helvetica" w:eastAsiaTheme="minorEastAsia" w:hAnsi="Helvetica" w:cstheme="minorBidi"/>
                <w:kern w:val="2"/>
                <w:sz w:val="22"/>
                <w:szCs w:val="22"/>
                <w14:ligatures w14:val="standardContextual"/>
              </w:rPr>
              <w:t>, offrant aux étudiants l'occasion d'échanger avec des magistrats et des experts de la Cour sur les enjeux contemporains de l'évaluation des politiques publiques. Au cours des trois dernières années, cinq étudiants du Master ont été accueillis en stage au sein de la Cour, où ils ont contribué aux travaux des juridictions financières tout en se familiarisant avec les méthodes d'analyse et d'évaluation mises en œuvre par l'institution.</w:t>
            </w:r>
          </w:p>
          <w:p w14:paraId="21D1E0FB"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w:t>
            </w:r>
          </w:p>
          <w:p w14:paraId="0BB0D11B"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Le partenariat s'est également concrétisé par la mise en œuvre d'un premier Policy in Action, permettant aux étudiants de travailler sur une problématique réelle d'action publique en lien avec les équipes de la Cour. Cette expérience illustre la richesse d'une coopération qui associe excellence académique, innovation pédagogique et expertise institutionnelle.</w:t>
            </w:r>
          </w:p>
          <w:p w14:paraId="1952BD12"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w:t>
            </w:r>
          </w:p>
          <w:p w14:paraId="162C213A"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Fort de ces résultats, les partenaires ont décidé de renouveler leur coopération afin de poursuivre et d'amplifier ces initiatives jusqu’en 2029. La Cour continuera de contribuer aux enseignements du Master, d'accueillir des stagiaires et de proposer aux étudiants des études de cas, des projets appliqués et des échanges avec ses équipes afin de développer leurs compétences au service de l'évaluation des politiques publiques.</w:t>
            </w:r>
          </w:p>
          <w:p w14:paraId="36035EB3" w14:textId="77777777"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w:t>
            </w:r>
          </w:p>
          <w:p w14:paraId="6280C7F3" w14:textId="17A39472"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xml:space="preserve">Amélie de </w:t>
            </w:r>
            <w:proofErr w:type="spellStart"/>
            <w:r w:rsidRPr="007A4F10">
              <w:rPr>
                <w:rFonts w:ascii="Helvetica" w:eastAsiaTheme="minorEastAsia" w:hAnsi="Helvetica" w:cstheme="minorBidi"/>
                <w:kern w:val="2"/>
                <w:sz w:val="22"/>
                <w:szCs w:val="22"/>
                <w14:ligatures w14:val="standardContextual"/>
              </w:rPr>
              <w:t>Montchalin</w:t>
            </w:r>
            <w:proofErr w:type="spellEnd"/>
            <w:r w:rsidRPr="007A4F10">
              <w:rPr>
                <w:rFonts w:ascii="Helvetica" w:eastAsiaTheme="minorEastAsia" w:hAnsi="Helvetica" w:cstheme="minorBidi"/>
                <w:kern w:val="2"/>
                <w:sz w:val="22"/>
                <w:szCs w:val="22"/>
                <w14:ligatures w14:val="standardContextual"/>
              </w:rPr>
              <w:t>, Première présidente de la Cour des comptes, déclare :</w:t>
            </w:r>
            <w:r>
              <w:rPr>
                <w:rFonts w:ascii="Helvetica" w:eastAsiaTheme="minorEastAsia" w:hAnsi="Helvetica" w:cstheme="minorBidi"/>
                <w:kern w:val="2"/>
                <w:sz w:val="22"/>
                <w:szCs w:val="22"/>
                <w14:ligatures w14:val="standardContextual"/>
              </w:rPr>
              <w:t xml:space="preserve"> </w:t>
            </w:r>
            <w:r w:rsidRPr="007A4F10">
              <w:rPr>
                <w:rFonts w:ascii="Helvetica" w:eastAsiaTheme="minorEastAsia" w:hAnsi="Helvetica" w:cstheme="minorBidi"/>
                <w:kern w:val="2"/>
                <w:sz w:val="22"/>
                <w:szCs w:val="22"/>
                <w14:ligatures w14:val="standardContextual"/>
              </w:rPr>
              <w:t xml:space="preserve">« </w:t>
            </w:r>
            <w:r w:rsidRPr="005E7578">
              <w:rPr>
                <w:rFonts w:ascii="Helvetica" w:eastAsiaTheme="minorEastAsia" w:hAnsi="Helvetica" w:cstheme="minorBidi"/>
                <w:i/>
                <w:iCs/>
                <w:kern w:val="2"/>
                <w:sz w:val="22"/>
                <w:szCs w:val="22"/>
                <w14:ligatures w14:val="standardContextual"/>
              </w:rPr>
              <w:t>Le renouvellement de ce partenariat témoigne de notre conviction que l'évaluation des politiques publiques se nourrit du dialogue entre la recherche, la formation et les institutions. En accueillant chaque année des étudiants, en partageant nos méthodes et en construisant avec eux des projets concrets, la Cour contribue à former les talents qui feront progresser l'évaluation publique de demain. Je me réjouis de poursuivre cette coopération avec l'École polytechnique, l'ENSAE Paris et Télécom Paris, au service d'une action publique toujours mieux éclairée.</w:t>
            </w:r>
            <w:r w:rsidRPr="007A4F10">
              <w:rPr>
                <w:rFonts w:ascii="Helvetica" w:eastAsiaTheme="minorEastAsia" w:hAnsi="Helvetica" w:cstheme="minorBidi"/>
                <w:kern w:val="2"/>
                <w:sz w:val="22"/>
                <w:szCs w:val="22"/>
                <w14:ligatures w14:val="standardContextual"/>
              </w:rPr>
              <w:t xml:space="preserve"> »</w:t>
            </w:r>
          </w:p>
          <w:p w14:paraId="01839BA2" w14:textId="77777777" w:rsidR="00B143E5" w:rsidRDefault="00B143E5" w:rsidP="00E3506F">
            <w:pPr>
              <w:pStyle w:val="NormalWeb"/>
              <w:spacing w:before="0" w:beforeAutospacing="0" w:after="0" w:afterAutospacing="0"/>
              <w:jc w:val="both"/>
              <w:rPr>
                <w:rFonts w:ascii="Aptos" w:hAnsi="Aptos"/>
                <w:color w:val="000000"/>
              </w:rPr>
            </w:pPr>
            <w:r>
              <w:rPr>
                <w:rFonts w:ascii="Calibri" w:hAnsi="Calibri" w:cs="Calibri"/>
                <w:color w:val="000000"/>
              </w:rPr>
              <w:t> </w:t>
            </w:r>
          </w:p>
          <w:p w14:paraId="741A252B" w14:textId="2B99F2E6" w:rsidR="00B143E5" w:rsidRPr="007A4F10" w:rsidRDefault="00B143E5" w:rsidP="00E3506F">
            <w:pPr>
              <w:pStyle w:val="NormalWeb"/>
              <w:spacing w:before="0" w:beforeAutospacing="0" w:after="0" w:afterAutospacing="0"/>
              <w:jc w:val="both"/>
              <w:rPr>
                <w:rFonts w:ascii="Helvetica" w:eastAsiaTheme="minorEastAsia" w:hAnsi="Helvetica" w:cstheme="minorBidi"/>
                <w:kern w:val="2"/>
                <w:sz w:val="22"/>
                <w:szCs w:val="22"/>
                <w14:ligatures w14:val="standardContextual"/>
              </w:rPr>
            </w:pPr>
            <w:r w:rsidRPr="007A4F10">
              <w:rPr>
                <w:rFonts w:ascii="Helvetica" w:eastAsiaTheme="minorEastAsia" w:hAnsi="Helvetica" w:cstheme="minorBidi"/>
                <w:kern w:val="2"/>
                <w:sz w:val="22"/>
                <w:szCs w:val="22"/>
                <w14:ligatures w14:val="standardContextual"/>
              </w:rPr>
              <w:t xml:space="preserve">Pierre Boyer et Franck </w:t>
            </w:r>
            <w:proofErr w:type="spellStart"/>
            <w:r w:rsidRPr="007A4F10">
              <w:rPr>
                <w:rFonts w:ascii="Helvetica" w:eastAsiaTheme="minorEastAsia" w:hAnsi="Helvetica" w:cstheme="minorBidi"/>
                <w:kern w:val="2"/>
                <w:sz w:val="22"/>
                <w:szCs w:val="22"/>
                <w14:ligatures w14:val="standardContextual"/>
              </w:rPr>
              <w:t>Malherbet</w:t>
            </w:r>
            <w:proofErr w:type="spellEnd"/>
            <w:r w:rsidRPr="007A4F10">
              <w:rPr>
                <w:rFonts w:ascii="Helvetica" w:eastAsiaTheme="minorEastAsia" w:hAnsi="Helvetica" w:cstheme="minorBidi"/>
                <w:kern w:val="2"/>
                <w:sz w:val="22"/>
                <w:szCs w:val="22"/>
                <w14:ligatures w14:val="standardContextual"/>
              </w:rPr>
              <w:t>, codirecteurs du </w:t>
            </w:r>
            <w:proofErr w:type="spellStart"/>
            <w:r w:rsidRPr="007A4F10">
              <w:rPr>
                <w:rFonts w:ascii="Helvetica" w:eastAsiaTheme="minorEastAsia" w:hAnsi="Helvetica" w:cstheme="minorBidi"/>
                <w:kern w:val="2"/>
                <w:sz w:val="22"/>
                <w:szCs w:val="22"/>
                <w14:ligatures w14:val="standardContextual"/>
              </w:rPr>
              <w:t>MScT</w:t>
            </w:r>
            <w:proofErr w:type="spellEnd"/>
            <w:r w:rsidRPr="007A4F10">
              <w:rPr>
                <w:rFonts w:ascii="Helvetica" w:eastAsiaTheme="minorEastAsia" w:hAnsi="Helvetica" w:cstheme="minorBidi"/>
                <w:kern w:val="2"/>
                <w:sz w:val="22"/>
                <w:szCs w:val="22"/>
                <w14:ligatures w14:val="standardContextual"/>
              </w:rPr>
              <w:t xml:space="preserve"> Data and </w:t>
            </w:r>
            <w:proofErr w:type="spellStart"/>
            <w:r w:rsidRPr="007A4F10">
              <w:rPr>
                <w:rFonts w:ascii="Helvetica" w:eastAsiaTheme="minorEastAsia" w:hAnsi="Helvetica" w:cstheme="minorBidi"/>
                <w:kern w:val="2"/>
                <w:sz w:val="22"/>
                <w:szCs w:val="22"/>
                <w14:ligatures w14:val="standardContextual"/>
              </w:rPr>
              <w:t>Economics</w:t>
            </w:r>
            <w:proofErr w:type="spellEnd"/>
            <w:r w:rsidRPr="007A4F10">
              <w:rPr>
                <w:rFonts w:ascii="Helvetica" w:eastAsiaTheme="minorEastAsia" w:hAnsi="Helvetica" w:cstheme="minorBidi"/>
                <w:kern w:val="2"/>
                <w:sz w:val="22"/>
                <w:szCs w:val="22"/>
                <w14:ligatures w14:val="standardContextual"/>
              </w:rPr>
              <w:t xml:space="preserve"> for Public Policy, soulignent</w:t>
            </w:r>
            <w:r w:rsidR="00312798">
              <w:rPr>
                <w:rFonts w:ascii="Helvetica" w:eastAsiaTheme="minorEastAsia" w:hAnsi="Helvetica" w:cstheme="minorBidi"/>
                <w:kern w:val="2"/>
                <w:sz w:val="22"/>
                <w:szCs w:val="22"/>
                <w14:ligatures w14:val="standardContextual"/>
              </w:rPr>
              <w:t xml:space="preserve"> que</w:t>
            </w:r>
            <w:r w:rsidRPr="007A4F10">
              <w:rPr>
                <w:rFonts w:ascii="Helvetica" w:eastAsiaTheme="minorEastAsia" w:hAnsi="Helvetica" w:cstheme="minorBidi"/>
                <w:kern w:val="2"/>
                <w:sz w:val="22"/>
                <w:szCs w:val="22"/>
                <w14:ligatures w14:val="standardContextual"/>
              </w:rPr>
              <w:t xml:space="preserve"> :</w:t>
            </w:r>
            <w:r w:rsidR="00312798">
              <w:rPr>
                <w:rFonts w:ascii="Helvetica" w:eastAsiaTheme="minorEastAsia" w:hAnsi="Helvetica" w:cstheme="minorBidi"/>
                <w:kern w:val="2"/>
                <w:sz w:val="22"/>
                <w:szCs w:val="22"/>
                <w14:ligatures w14:val="standardContextual"/>
              </w:rPr>
              <w:t xml:space="preserve"> </w:t>
            </w:r>
            <w:r w:rsidRPr="007A4F10">
              <w:rPr>
                <w:rFonts w:ascii="Helvetica" w:eastAsiaTheme="minorEastAsia" w:hAnsi="Helvetica" w:cstheme="minorBidi"/>
                <w:kern w:val="2"/>
                <w:sz w:val="22"/>
                <w:szCs w:val="22"/>
                <w14:ligatures w14:val="standardContextual"/>
              </w:rPr>
              <w:t xml:space="preserve">« </w:t>
            </w:r>
            <w:r w:rsidRPr="00A54B81">
              <w:rPr>
                <w:rFonts w:ascii="Helvetica" w:eastAsiaTheme="minorEastAsia" w:hAnsi="Helvetica" w:cstheme="minorBidi"/>
                <w:i/>
                <w:iCs/>
                <w:kern w:val="2"/>
                <w:sz w:val="22"/>
                <w:szCs w:val="22"/>
                <w14:ligatures w14:val="standardContextual"/>
              </w:rPr>
              <w:t>Le renouvellement de ce partenariat témoigne de la qualité des collaborations développées depuis la création du Master. Les interventions des équipes de la Cour, les stages proposés aux étudiants et les projets Policy in Action constituent des expériences particulièrement formatrices, qui illustrent concrètement la manière dont les méthodes quantitatives peuvent contribuer à améliorer les politiques publiques.</w:t>
            </w:r>
            <w:r w:rsidRPr="007A4F10">
              <w:rPr>
                <w:rFonts w:ascii="Helvetica" w:eastAsiaTheme="minorEastAsia" w:hAnsi="Helvetica" w:cstheme="minorBidi"/>
                <w:kern w:val="2"/>
                <w:sz w:val="22"/>
                <w:szCs w:val="22"/>
                <w14:ligatures w14:val="standardContextual"/>
              </w:rPr>
              <w:t xml:space="preserve"> »</w:t>
            </w:r>
          </w:p>
          <w:p w14:paraId="184B7476" w14:textId="77777777" w:rsidR="00B143E5" w:rsidRDefault="00B143E5" w:rsidP="004B5CD9">
            <w:pPr>
              <w:jc w:val="both"/>
              <w:rPr>
                <w:rFonts w:ascii="Arial" w:hAnsi="Arial" w:cs="Arial"/>
                <w:color w:val="000000"/>
                <w:sz w:val="17"/>
                <w:szCs w:val="17"/>
              </w:rPr>
            </w:pPr>
          </w:p>
          <w:p w14:paraId="7DBEF26E" w14:textId="77777777" w:rsidR="00D56E53" w:rsidRDefault="00D56E53" w:rsidP="004B5CD9">
            <w:pPr>
              <w:jc w:val="both"/>
              <w:rPr>
                <w:rFonts w:ascii="Helvetica" w:hAnsi="Helvetica" w:cs="Arial"/>
                <w:b/>
                <w:color w:val="201D23"/>
                <w:sz w:val="18"/>
                <w:szCs w:val="18"/>
              </w:rPr>
            </w:pPr>
          </w:p>
          <w:p w14:paraId="13B0AE7F" w14:textId="77777777" w:rsidR="00D56E53" w:rsidRDefault="00D56E53" w:rsidP="004B5CD9">
            <w:pPr>
              <w:jc w:val="both"/>
              <w:rPr>
                <w:rFonts w:ascii="Helvetica" w:hAnsi="Helvetica" w:cs="Arial"/>
                <w:b/>
                <w:color w:val="201D23"/>
                <w:sz w:val="18"/>
                <w:szCs w:val="18"/>
              </w:rPr>
            </w:pPr>
          </w:p>
          <w:p w14:paraId="4B7920B3" w14:textId="77777777" w:rsidR="00A54B81" w:rsidRDefault="00A54B81" w:rsidP="008B5C71">
            <w:pPr>
              <w:pStyle w:val="NormalWeb"/>
              <w:spacing w:before="0" w:beforeAutospacing="0" w:after="0" w:afterAutospacing="0"/>
              <w:jc w:val="both"/>
              <w:rPr>
                <w:rFonts w:ascii="Helvetica" w:hAnsi="Helvetica" w:cs="Arial"/>
                <w:b/>
                <w:bCs/>
                <w:color w:val="5E0352"/>
                <w:sz w:val="20"/>
                <w:szCs w:val="20"/>
              </w:rPr>
            </w:pPr>
          </w:p>
          <w:p w14:paraId="6C646F60" w14:textId="77777777" w:rsidR="009626E5" w:rsidRDefault="00A54B81" w:rsidP="009626E5">
            <w:pPr>
              <w:pStyle w:val="NormalWeb"/>
              <w:spacing w:before="0" w:beforeAutospacing="0" w:after="0" w:afterAutospacing="0"/>
              <w:jc w:val="both"/>
              <w:rPr>
                <w:rFonts w:ascii="Helvetica" w:hAnsi="Helvetica" w:cs="Arial"/>
                <w:b/>
                <w:color w:val="201D23"/>
                <w:sz w:val="18"/>
                <w:szCs w:val="18"/>
              </w:rPr>
            </w:pPr>
            <w:r w:rsidRPr="00E72F2D">
              <w:rPr>
                <w:rFonts w:ascii="Helvetica" w:hAnsi="Helvetica" w:cs="Arial"/>
                <w:b/>
                <w:color w:val="201D23"/>
                <w:sz w:val="18"/>
                <w:szCs w:val="18"/>
              </w:rPr>
              <w:t>À propos de</w:t>
            </w:r>
            <w:r w:rsidR="00A4544E">
              <w:rPr>
                <w:rFonts w:ascii="Helvetica" w:hAnsi="Helvetica" w:cs="Arial"/>
                <w:b/>
                <w:color w:val="201D23"/>
                <w:sz w:val="18"/>
                <w:szCs w:val="18"/>
              </w:rPr>
              <w:t xml:space="preserve"> l’</w:t>
            </w:r>
            <w:r w:rsidR="0038206A">
              <w:rPr>
                <w:rFonts w:ascii="Helvetica" w:hAnsi="Helvetica" w:cs="Arial"/>
                <w:b/>
                <w:color w:val="201D23"/>
                <w:sz w:val="18"/>
                <w:szCs w:val="18"/>
              </w:rPr>
              <w:t>E</w:t>
            </w:r>
            <w:r w:rsidR="00A4544E">
              <w:rPr>
                <w:rFonts w:ascii="Helvetica" w:hAnsi="Helvetica" w:cs="Arial"/>
                <w:b/>
                <w:color w:val="201D23"/>
                <w:sz w:val="18"/>
                <w:szCs w:val="18"/>
              </w:rPr>
              <w:t xml:space="preserve">cole </w:t>
            </w:r>
            <w:proofErr w:type="spellStart"/>
            <w:r w:rsidR="0038206A">
              <w:rPr>
                <w:rFonts w:ascii="Helvetica" w:hAnsi="Helvetica" w:cs="Arial"/>
                <w:b/>
                <w:color w:val="201D23"/>
                <w:sz w:val="18"/>
                <w:szCs w:val="18"/>
              </w:rPr>
              <w:t>p</w:t>
            </w:r>
            <w:r w:rsidR="00A4544E">
              <w:rPr>
                <w:rFonts w:ascii="Helvetica" w:hAnsi="Helvetica" w:cs="Arial"/>
                <w:b/>
                <w:color w:val="201D23"/>
                <w:sz w:val="18"/>
                <w:szCs w:val="18"/>
              </w:rPr>
              <w:t>olytechnique</w:t>
            </w:r>
            <w:proofErr w:type="spellEnd"/>
          </w:p>
          <w:p w14:paraId="11C5E597" w14:textId="70059896" w:rsidR="009626E5" w:rsidRPr="009626E5" w:rsidRDefault="009626E5" w:rsidP="009626E5">
            <w:pPr>
              <w:pStyle w:val="NormalWeb"/>
              <w:spacing w:before="0" w:beforeAutospacing="0" w:after="0" w:afterAutospacing="0"/>
              <w:jc w:val="both"/>
              <w:rPr>
                <w:rFonts w:ascii="Helvetica" w:hAnsi="Helvetica" w:cs="Arial"/>
                <w:bCs/>
                <w:color w:val="201D23"/>
                <w:sz w:val="18"/>
                <w:szCs w:val="18"/>
              </w:rPr>
            </w:pPr>
            <w:r w:rsidRPr="009626E5">
              <w:rPr>
                <w:rFonts w:ascii="Helvetica" w:hAnsi="Helvetica" w:cs="Arial"/>
                <w:bCs/>
                <w:color w:val="201D23"/>
                <w:sz w:val="18"/>
                <w:szCs w:val="18"/>
              </w:rPr>
              <w:t xml:space="preserve">L’École polytechnique est un établissement d‘enseignement supérieur et de recherche qui cultive la pluridisciplinarité et l’excellence scientifique. L’X associe recherche, enseignement et innovation au meilleur niveau scientifique et technologique. Sa formation promeut une culture d’excellence à forte dominante en sciences, ouverte sur une grande tradition humaniste. À travers son offre de formation – </w:t>
            </w:r>
            <w:proofErr w:type="spellStart"/>
            <w:r w:rsidRPr="009626E5">
              <w:rPr>
                <w:rFonts w:ascii="Helvetica" w:hAnsi="Helvetica" w:cs="Arial"/>
                <w:bCs/>
                <w:color w:val="201D23"/>
                <w:sz w:val="18"/>
                <w:szCs w:val="18"/>
              </w:rPr>
              <w:t>bachelor</w:t>
            </w:r>
            <w:proofErr w:type="spellEnd"/>
            <w:r w:rsidRPr="009626E5">
              <w:rPr>
                <w:rFonts w:ascii="Helvetica" w:hAnsi="Helvetica" w:cs="Arial"/>
                <w:bCs/>
                <w:color w:val="201D23"/>
                <w:sz w:val="18"/>
                <w:szCs w:val="18"/>
              </w:rPr>
              <w:t>, cycle ingénieur polytechnicien, master, programmes gradués, programme doctoral, doctorat, formation continue – l’École polytechnique forme des décideurs à forte culture scientifique pluridisciplinaire en les exposant à la fois au monde de la recherche et à celui de l’entreprise. Avec ses 23 laboratoires, dont 22 sont unités mixtes de recherche avec le CNRS, le centre de recherche de l’X travaille aux frontières de la connaissance sur les grands enjeux interdisciplinaires scientifiques, technologiques et sociétaux. L’École polytechnique est membre fondateur de l’Institut Polytechnique de Paris.</w:t>
            </w:r>
          </w:p>
          <w:p w14:paraId="180877A3" w14:textId="5D21B70B" w:rsidR="00D56E53" w:rsidRDefault="009626E5" w:rsidP="009626E5">
            <w:pPr>
              <w:pStyle w:val="NormalWeb"/>
              <w:spacing w:before="0" w:beforeAutospacing="0" w:after="0" w:afterAutospacing="0"/>
              <w:jc w:val="both"/>
              <w:rPr>
                <w:rFonts w:ascii="Helvetica" w:hAnsi="Helvetica" w:cs="Arial"/>
                <w:bCs/>
                <w:color w:val="201D23"/>
                <w:sz w:val="18"/>
                <w:szCs w:val="18"/>
              </w:rPr>
            </w:pPr>
            <w:hyperlink r:id="rId14" w:history="1">
              <w:r w:rsidRPr="00DB0F34">
                <w:rPr>
                  <w:rStyle w:val="Lienhypertexte"/>
                  <w:rFonts w:ascii="Helvetica" w:hAnsi="Helvetica" w:cs="Arial"/>
                  <w:bCs/>
                  <w:sz w:val="18"/>
                  <w:szCs w:val="18"/>
                </w:rPr>
                <w:t>www.polytechnique.edu</w:t>
              </w:r>
            </w:hyperlink>
          </w:p>
          <w:p w14:paraId="35B54B97" w14:textId="77777777" w:rsidR="009626E5" w:rsidRDefault="009626E5" w:rsidP="009626E5">
            <w:pPr>
              <w:pStyle w:val="NormalWeb"/>
              <w:spacing w:before="0" w:beforeAutospacing="0" w:after="0" w:afterAutospacing="0"/>
              <w:jc w:val="both"/>
              <w:rPr>
                <w:rFonts w:ascii="Helvetica" w:hAnsi="Helvetica" w:cs="Arial"/>
                <w:bCs/>
                <w:color w:val="201D23"/>
                <w:sz w:val="18"/>
                <w:szCs w:val="18"/>
              </w:rPr>
            </w:pPr>
          </w:p>
          <w:p w14:paraId="18375A74" w14:textId="77777777" w:rsidR="00D56E53" w:rsidRPr="00E72F2D" w:rsidRDefault="00D56E53" w:rsidP="00D56E53">
            <w:pPr>
              <w:jc w:val="both"/>
              <w:rPr>
                <w:rFonts w:ascii="Helvetica" w:hAnsi="Helvetica" w:cs="Arial"/>
                <w:b/>
                <w:color w:val="201D23"/>
                <w:sz w:val="18"/>
                <w:szCs w:val="18"/>
              </w:rPr>
            </w:pPr>
            <w:r w:rsidRPr="00E72F2D">
              <w:rPr>
                <w:rFonts w:ascii="Helvetica" w:hAnsi="Helvetica" w:cs="Arial"/>
                <w:b/>
                <w:color w:val="201D23"/>
                <w:sz w:val="18"/>
                <w:szCs w:val="18"/>
              </w:rPr>
              <w:t xml:space="preserve">À propos de </w:t>
            </w:r>
            <w:hyperlink r:id="rId15" w:tgtFrame="_blank" w:history="1">
              <w:r w:rsidRPr="00E72F2D">
                <w:rPr>
                  <w:rStyle w:val="pt-lienhypertexte-000038"/>
                  <w:rFonts w:ascii="Helvetica" w:hAnsi="Helvetica" w:cs="Arial"/>
                  <w:b/>
                  <w:bCs/>
                  <w:color w:val="000000" w:themeColor="text1"/>
                  <w:sz w:val="18"/>
                  <w:szCs w:val="18"/>
                  <w:u w:val="single"/>
                </w:rPr>
                <w:t>ENSAE Paris</w:t>
              </w:r>
            </w:hyperlink>
          </w:p>
          <w:p w14:paraId="1E95D8C7" w14:textId="2DCE643A" w:rsidR="00D56E53" w:rsidRDefault="00D56E53" w:rsidP="00D56E53">
            <w:pPr>
              <w:jc w:val="both"/>
              <w:rPr>
                <w:rFonts w:ascii="Helvetica" w:eastAsia="Times New Roman" w:hAnsi="Helvetica" w:cs="Arial"/>
                <w:color w:val="201D23"/>
                <w:sz w:val="18"/>
                <w:szCs w:val="18"/>
              </w:rPr>
            </w:pPr>
            <w:r w:rsidRPr="00E72F2D">
              <w:rPr>
                <w:rFonts w:ascii="Helvetica" w:eastAsia="Times New Roman" w:hAnsi="Helvetica" w:cs="Arial"/>
                <w:color w:val="201D23"/>
                <w:sz w:val="18"/>
                <w:szCs w:val="18"/>
              </w:rPr>
              <w:t>Créée il y a 80 ans, l’ENSAE Paris est une grande école d’ingénieurs de référence en économie et sociologie quantitatives, statistiques et data science, finance et actuariat. La force et l'originalité de l'ENSAE résident dans son projet pédagogique historique alliant mathématiques appliquées, économie et sciences sociales quantitatives. Ses diplômés sont uniques par leur capacité à modéliser les phénomènes économiques et sociaux et à exploiter les méthodes les plus avancées pour donner du sens aux données et éclairer les décisions des entreprises et des institutions publiques. L’ENSAE Paris est membre fondateur de l’Institut Polytechnique de Paris et l’une des deux écoles d’ingénieurs du Groupe ENSAE-ENSAI, établissement public d’enseignement supérieur et de recherch</w:t>
            </w:r>
            <w:r w:rsidR="00F26033">
              <w:rPr>
                <w:rFonts w:ascii="Helvetica" w:eastAsia="Times New Roman" w:hAnsi="Helvetica" w:cs="Arial"/>
                <w:color w:val="201D23"/>
                <w:sz w:val="18"/>
                <w:szCs w:val="18"/>
              </w:rPr>
              <w:t>e</w:t>
            </w:r>
            <w:r w:rsidR="008C0992">
              <w:rPr>
                <w:rFonts w:ascii="Helvetica" w:eastAsia="Times New Roman" w:hAnsi="Helvetica" w:cs="Arial"/>
                <w:color w:val="201D23"/>
                <w:sz w:val="18"/>
                <w:szCs w:val="18"/>
              </w:rPr>
              <w:t>.</w:t>
            </w:r>
          </w:p>
          <w:p w14:paraId="75AA0C74" w14:textId="419ECA23" w:rsidR="00D56E53" w:rsidRPr="009626E5" w:rsidRDefault="009626E5" w:rsidP="00D56E53">
            <w:pPr>
              <w:jc w:val="both"/>
              <w:rPr>
                <w:rFonts w:ascii="Helvetica" w:hAnsi="Helvetica" w:cs="Arial"/>
                <w:color w:val="201D23"/>
                <w:sz w:val="18"/>
                <w:szCs w:val="18"/>
              </w:rPr>
            </w:pPr>
            <w:hyperlink r:id="rId16" w:history="1">
              <w:r w:rsidRPr="009626E5">
                <w:rPr>
                  <w:rStyle w:val="Lienhypertexte"/>
                  <w:rFonts w:ascii="Helvetica" w:hAnsi="Helvetica" w:cs="Arial"/>
                  <w:sz w:val="18"/>
                  <w:szCs w:val="18"/>
                </w:rPr>
                <w:t>www.ensae.fr</w:t>
              </w:r>
            </w:hyperlink>
            <w:r w:rsidRPr="009626E5">
              <w:rPr>
                <w:rFonts w:ascii="Helvetica" w:hAnsi="Helvetica" w:cs="Arial"/>
                <w:color w:val="201D23"/>
                <w:sz w:val="18"/>
                <w:szCs w:val="18"/>
              </w:rPr>
              <w:t xml:space="preserve"> </w:t>
            </w:r>
          </w:p>
          <w:p w14:paraId="27A73E53" w14:textId="77777777" w:rsidR="009626E5" w:rsidRDefault="009626E5" w:rsidP="00D56E53">
            <w:pPr>
              <w:jc w:val="both"/>
              <w:rPr>
                <w:rFonts w:ascii="Helvetica" w:hAnsi="Helvetica" w:cs="Arial"/>
                <w:b/>
                <w:bCs/>
                <w:color w:val="201D23"/>
                <w:sz w:val="18"/>
                <w:szCs w:val="18"/>
              </w:rPr>
            </w:pPr>
          </w:p>
          <w:p w14:paraId="17ACA6E5" w14:textId="77777777" w:rsidR="00D56E53" w:rsidRPr="00E72F2D" w:rsidRDefault="00D56E53" w:rsidP="00D56E53">
            <w:pPr>
              <w:jc w:val="both"/>
              <w:rPr>
                <w:rFonts w:ascii="Helvetica" w:hAnsi="Helvetica" w:cs="Arial"/>
                <w:b/>
                <w:bCs/>
                <w:color w:val="201D23"/>
                <w:sz w:val="18"/>
                <w:szCs w:val="18"/>
              </w:rPr>
            </w:pPr>
            <w:r w:rsidRPr="00E72F2D">
              <w:rPr>
                <w:rFonts w:ascii="Helvetica" w:hAnsi="Helvetica" w:cs="Arial"/>
                <w:b/>
                <w:bCs/>
                <w:color w:val="201D23"/>
                <w:sz w:val="18"/>
                <w:szCs w:val="18"/>
              </w:rPr>
              <w:t xml:space="preserve">À propos du </w:t>
            </w:r>
            <w:hyperlink r:id="rId17" w:history="1">
              <w:r w:rsidRPr="00772123">
                <w:rPr>
                  <w:rStyle w:val="Lienhypertexte"/>
                  <w:rFonts w:ascii="Helvetica" w:hAnsi="Helvetica" w:cs="Arial"/>
                  <w:b/>
                  <w:bCs/>
                  <w:color w:val="000000" w:themeColor="text1"/>
                  <w:sz w:val="18"/>
                  <w:szCs w:val="18"/>
                </w:rPr>
                <w:t>Groupe ENSAE-ENSAI</w:t>
              </w:r>
            </w:hyperlink>
          </w:p>
          <w:p w14:paraId="052FDCD4" w14:textId="55391A32" w:rsidR="00D56E53" w:rsidRDefault="00D56E53" w:rsidP="00D56E53">
            <w:pPr>
              <w:jc w:val="both"/>
              <w:rPr>
                <w:rFonts w:ascii="Helvetica" w:hAnsi="Helvetica" w:cs="Arial"/>
                <w:color w:val="201D23"/>
                <w:sz w:val="22"/>
                <w:szCs w:val="22"/>
              </w:rPr>
            </w:pPr>
            <w:r w:rsidRPr="00E72F2D">
              <w:rPr>
                <w:rFonts w:ascii="Helvetica" w:eastAsia="Times New Roman" w:hAnsi="Helvetica" w:cs="Arial"/>
                <w:color w:val="201D23"/>
                <w:sz w:val="18"/>
                <w:szCs w:val="18"/>
              </w:rPr>
              <w:t>Créé en 1994 par l’Insee, le Groupe est depuis 2011 un établissement public d’enseignement supérieur et de recherche de référence en statistiques et science des données, économie et sciences sociales quantitatives, finance et assurance. L’établissement regroupe deux grandes écoles d’ingénieurs, l'ENSAE Paris et l’ENSAI à Rennes, et un organisme de formation continue (ENSAE-ENSAI Formation Continue) qui diplôment chaque année plus de 500 spécialistes, dont des cadres supérieurs de l’Etat (administrateurs et attachés de l’Insee). Le Groupe compte également une filiale de valorisation (</w:t>
            </w:r>
            <w:proofErr w:type="spellStart"/>
            <w:r w:rsidRPr="00E72F2D">
              <w:rPr>
                <w:rFonts w:ascii="Helvetica" w:eastAsia="Times New Roman" w:hAnsi="Helvetica" w:cs="Arial"/>
                <w:color w:val="201D23"/>
                <w:sz w:val="18"/>
                <w:szCs w:val="18"/>
              </w:rPr>
              <w:t>Datastorm</w:t>
            </w:r>
            <w:proofErr w:type="spellEnd"/>
            <w:r w:rsidRPr="00E72F2D">
              <w:rPr>
                <w:rFonts w:ascii="Helvetica" w:eastAsia="Times New Roman" w:hAnsi="Helvetica" w:cs="Arial"/>
                <w:color w:val="201D23"/>
                <w:sz w:val="18"/>
                <w:szCs w:val="18"/>
              </w:rPr>
              <w:t>) et est membre du Centre d’accès sécurisé aux données (GIP CASD). Il conduit par ailleurs des travaux de recherche, des missions d’étude et des actions de diffusion pluridisciplinaires, principalement en mathématiques, économétrie et statistiques, au sein du Centre de Recherche en Économie et Statistique (CREST), unité mixte de recherche, avec le CNRS et Polytechnique. Le Groupe ENSAE-ENSAI est, conjointement avec l’École d’économie de Paris (PSE), partenaire scientifique de l’Institut des Politiques Publiques.</w:t>
            </w:r>
            <w:r w:rsidRPr="00E72F2D">
              <w:rPr>
                <w:rFonts w:ascii="Helvetica" w:hAnsi="Helvetica" w:cs="Arial"/>
                <w:color w:val="201D23"/>
                <w:sz w:val="22"/>
                <w:szCs w:val="22"/>
              </w:rPr>
              <w:t> </w:t>
            </w:r>
          </w:p>
          <w:p w14:paraId="1527E160" w14:textId="697ABC0E" w:rsidR="009626E5" w:rsidRPr="009626E5" w:rsidRDefault="009626E5" w:rsidP="00D56E53">
            <w:pPr>
              <w:jc w:val="both"/>
              <w:rPr>
                <w:rFonts w:ascii="Helvetica" w:hAnsi="Helvetica" w:cs="Arial"/>
                <w:color w:val="201D23"/>
                <w:sz w:val="18"/>
                <w:szCs w:val="18"/>
              </w:rPr>
            </w:pPr>
            <w:hyperlink r:id="rId18" w:history="1">
              <w:r w:rsidRPr="009626E5">
                <w:rPr>
                  <w:rStyle w:val="Lienhypertexte"/>
                  <w:rFonts w:ascii="Helvetica" w:hAnsi="Helvetica" w:cs="Arial"/>
                  <w:sz w:val="18"/>
                  <w:szCs w:val="18"/>
                </w:rPr>
                <w:t>www.ensae-ensai.fr</w:t>
              </w:r>
            </w:hyperlink>
          </w:p>
          <w:p w14:paraId="682C4CA7" w14:textId="77777777" w:rsidR="00D56E53" w:rsidRPr="00D56E53" w:rsidRDefault="00D56E53" w:rsidP="00D56E53">
            <w:pPr>
              <w:pStyle w:val="NormalWeb"/>
              <w:spacing w:before="0" w:beforeAutospacing="0" w:after="0" w:afterAutospacing="0"/>
              <w:jc w:val="both"/>
              <w:rPr>
                <w:rFonts w:ascii="Helvetica" w:hAnsi="Helvetica" w:cs="Arial"/>
                <w:b/>
                <w:color w:val="201D23"/>
                <w:sz w:val="18"/>
                <w:szCs w:val="18"/>
              </w:rPr>
            </w:pPr>
          </w:p>
          <w:p w14:paraId="1820F82E" w14:textId="77777777" w:rsidR="00D56E53" w:rsidRDefault="0038206A" w:rsidP="00D56E53">
            <w:pPr>
              <w:pStyle w:val="NormalWeb"/>
              <w:spacing w:before="0" w:beforeAutospacing="0" w:after="0" w:afterAutospacing="0"/>
              <w:jc w:val="both"/>
              <w:rPr>
                <w:rFonts w:ascii="Helvetica" w:hAnsi="Helvetica" w:cs="Arial"/>
                <w:b/>
                <w:color w:val="201D23"/>
                <w:sz w:val="18"/>
                <w:szCs w:val="18"/>
              </w:rPr>
            </w:pPr>
            <w:r w:rsidRPr="00E72F2D">
              <w:rPr>
                <w:rFonts w:ascii="Helvetica" w:hAnsi="Helvetica" w:cs="Arial"/>
                <w:b/>
                <w:color w:val="201D23"/>
                <w:sz w:val="18"/>
                <w:szCs w:val="18"/>
              </w:rPr>
              <w:t>À propos de</w:t>
            </w:r>
            <w:r>
              <w:rPr>
                <w:rFonts w:ascii="Helvetica" w:hAnsi="Helvetica" w:cs="Arial"/>
                <w:b/>
                <w:color w:val="201D23"/>
                <w:sz w:val="18"/>
                <w:szCs w:val="18"/>
              </w:rPr>
              <w:t xml:space="preserve"> Télécom Paris</w:t>
            </w:r>
          </w:p>
          <w:p w14:paraId="37A2F96F" w14:textId="43DDCB89" w:rsidR="00D56E53" w:rsidRDefault="00D56E53" w:rsidP="00D56E53">
            <w:pPr>
              <w:pStyle w:val="NormalWeb"/>
              <w:spacing w:before="0" w:beforeAutospacing="0" w:after="0" w:afterAutospacing="0"/>
              <w:jc w:val="both"/>
              <w:rPr>
                <w:rFonts w:ascii="Helvetica" w:hAnsi="Helvetica" w:cs="Arial"/>
                <w:bCs/>
                <w:color w:val="201D23"/>
                <w:sz w:val="18"/>
                <w:szCs w:val="18"/>
              </w:rPr>
            </w:pPr>
            <w:r w:rsidRPr="009626E5">
              <w:rPr>
                <w:rFonts w:ascii="Helvetica" w:hAnsi="Helvetica" w:cs="Arial"/>
                <w:bCs/>
                <w:color w:val="201D23"/>
                <w:sz w:val="18"/>
                <w:szCs w:val="18"/>
              </w:rPr>
              <w:t>T</w:t>
            </w:r>
            <w:r w:rsidRPr="00D56E53">
              <w:rPr>
                <w:rFonts w:ascii="Helvetica" w:hAnsi="Helvetica" w:cs="Arial"/>
                <w:bCs/>
                <w:color w:val="201D23"/>
                <w:sz w:val="18"/>
                <w:szCs w:val="18"/>
              </w:rPr>
              <w:t xml:space="preserve">élécom Paris est une grande école d’ingénieur généraliste française. Reconnue pour sa proximité avec les entreprises, cette école publique garantit une excellente employabilité dans tous les secteurs et apparait comme la première grande école d’ingénieurs sur le numérique. Avec des enseignements d’excellence et une pédagogie innovante, Télécom Paris est au cœur d’un écosystème d’innovation unique, fondé sur l’interaction et la transversalité de sa formation, de sa recherche interdisciplinaire, de son incubateur d’entreprises et de son campus. Son laboratoire LTCI est présenté par l’HCERES comme une unité phare dans le domaine des sciences du numérique, tandis que le laboratoire i3 (unité mixte de recherche 9217 du CNRS), poursuit un programme de recherche multidisciplinaire centré sur l’innovation. Membre fondateur de l’Institut Polytechnique de Paris, école de l’IMT (Institut </w:t>
            </w:r>
            <w:proofErr w:type="spellStart"/>
            <w:r w:rsidRPr="00D56E53">
              <w:rPr>
                <w:rFonts w:ascii="Helvetica" w:hAnsi="Helvetica" w:cs="Arial"/>
                <w:bCs/>
                <w:color w:val="201D23"/>
                <w:sz w:val="18"/>
                <w:szCs w:val="18"/>
              </w:rPr>
              <w:t>MinesTélécom</w:t>
            </w:r>
            <w:proofErr w:type="spellEnd"/>
            <w:r w:rsidRPr="00D56E53">
              <w:rPr>
                <w:rFonts w:ascii="Helvetica" w:hAnsi="Helvetica" w:cs="Arial"/>
                <w:bCs/>
                <w:color w:val="201D23"/>
                <w:sz w:val="18"/>
                <w:szCs w:val="18"/>
              </w:rPr>
              <w:t xml:space="preserve">), Télécom Paris se positionne comme le laboratoire à ciel ouvert de tous les grands défis technologiques et sociétaux. </w:t>
            </w:r>
          </w:p>
          <w:p w14:paraId="6E3D9D65" w14:textId="58CB0546" w:rsidR="009626E5" w:rsidRPr="00D56E53" w:rsidRDefault="009626E5" w:rsidP="00D56E53">
            <w:pPr>
              <w:pStyle w:val="NormalWeb"/>
              <w:spacing w:before="0" w:beforeAutospacing="0" w:after="0" w:afterAutospacing="0"/>
              <w:jc w:val="both"/>
              <w:rPr>
                <w:rFonts w:ascii="Helvetica" w:hAnsi="Helvetica" w:cs="Arial"/>
                <w:b/>
                <w:color w:val="201D23"/>
                <w:sz w:val="18"/>
                <w:szCs w:val="18"/>
              </w:rPr>
            </w:pPr>
            <w:hyperlink r:id="rId19" w:history="1">
              <w:r w:rsidRPr="00DB0F34">
                <w:rPr>
                  <w:rStyle w:val="Lienhypertexte"/>
                  <w:rFonts w:ascii="Helvetica" w:hAnsi="Helvetica" w:cs="Arial"/>
                  <w:bCs/>
                  <w:sz w:val="18"/>
                  <w:szCs w:val="18"/>
                </w:rPr>
                <w:t>www.telecom-paris.fr</w:t>
              </w:r>
            </w:hyperlink>
            <w:r>
              <w:rPr>
                <w:rFonts w:ascii="Helvetica" w:hAnsi="Helvetica" w:cs="Arial"/>
                <w:bCs/>
                <w:color w:val="201D23"/>
                <w:sz w:val="18"/>
                <w:szCs w:val="18"/>
              </w:rPr>
              <w:t xml:space="preserve">  </w:t>
            </w:r>
          </w:p>
          <w:p w14:paraId="4B878791" w14:textId="77777777" w:rsidR="00D56E53" w:rsidRDefault="00D56E53" w:rsidP="0038206A">
            <w:pPr>
              <w:pStyle w:val="NormalWeb"/>
              <w:spacing w:before="0" w:beforeAutospacing="0" w:after="0" w:afterAutospacing="0"/>
              <w:jc w:val="both"/>
              <w:rPr>
                <w:rFonts w:ascii="Helvetica" w:hAnsi="Helvetica" w:cs="Arial"/>
                <w:b/>
                <w:color w:val="201D23"/>
                <w:sz w:val="18"/>
                <w:szCs w:val="18"/>
              </w:rPr>
            </w:pPr>
          </w:p>
          <w:p w14:paraId="24559805" w14:textId="77777777" w:rsidR="00D56E53" w:rsidRDefault="0038206A" w:rsidP="00D56E53">
            <w:pPr>
              <w:pStyle w:val="NormalWeb"/>
              <w:spacing w:before="0" w:beforeAutospacing="0" w:after="0" w:afterAutospacing="0"/>
              <w:jc w:val="both"/>
              <w:rPr>
                <w:rFonts w:ascii="Helvetica" w:hAnsi="Helvetica" w:cs="Arial"/>
                <w:b/>
                <w:color w:val="201D23"/>
                <w:sz w:val="18"/>
                <w:szCs w:val="18"/>
              </w:rPr>
            </w:pPr>
            <w:r w:rsidRPr="00E72F2D">
              <w:rPr>
                <w:rFonts w:ascii="Helvetica" w:hAnsi="Helvetica" w:cs="Arial"/>
                <w:b/>
                <w:color w:val="201D23"/>
                <w:sz w:val="18"/>
                <w:szCs w:val="18"/>
              </w:rPr>
              <w:t>À propos de</w:t>
            </w:r>
            <w:r>
              <w:rPr>
                <w:rFonts w:ascii="Helvetica" w:hAnsi="Helvetica" w:cs="Arial"/>
                <w:b/>
                <w:color w:val="201D23"/>
                <w:sz w:val="18"/>
                <w:szCs w:val="18"/>
              </w:rPr>
              <w:t xml:space="preserve"> la Cour des Comptes</w:t>
            </w:r>
          </w:p>
          <w:p w14:paraId="1B6E2F74" w14:textId="5D26609F" w:rsidR="00D56E53" w:rsidRPr="00D56E53" w:rsidRDefault="00D56E53" w:rsidP="00D56E53">
            <w:pPr>
              <w:pStyle w:val="NormalWeb"/>
              <w:spacing w:before="0" w:beforeAutospacing="0" w:after="0" w:afterAutospacing="0"/>
              <w:jc w:val="both"/>
              <w:rPr>
                <w:rFonts w:ascii="Helvetica" w:hAnsi="Helvetica" w:cs="Arial"/>
                <w:b/>
                <w:color w:val="201D23"/>
                <w:sz w:val="18"/>
                <w:szCs w:val="18"/>
              </w:rPr>
            </w:pPr>
            <w:r w:rsidRPr="00D56E53">
              <w:rPr>
                <w:rFonts w:ascii="Helvetica" w:hAnsi="Helvetica" w:cs="Arial"/>
                <w:bCs/>
                <w:color w:val="201D23"/>
                <w:sz w:val="18"/>
                <w:szCs w:val="18"/>
              </w:rPr>
              <w:t>Créée en 1807, la Cour des comptes se situe à équidistance du Parlement et du Gouvernement, qu’elle assiste. Elle est l’institution supérieure de contrôle chargée de vérifier l’emploi des fonds publics et de sanctionner les manquements à leur bon usage. La Cour et les 23 chambres régionales et territoriales des comptes (CRTC) forment les juridictions financières. Dans le cadre prévu par la loi, elles définissent librement leur programme de travail, sont dotées de pouvoirs de contrôle sur pièces et sur place, adoptent librement leurs conclusions et jouissent d’une liberté éditoriale. Présentes dans le débat public grâce à la publication de leurs rapports, elles se veulent utiles aux décideurs comme aux citoyens et contribuent activement à l’amélioration de la gestion publique et de ses résultats.</w:t>
            </w:r>
          </w:p>
          <w:p w14:paraId="32DD6D5E" w14:textId="28EA4C3E" w:rsidR="00A54B81" w:rsidRPr="009626E5" w:rsidRDefault="009626E5" w:rsidP="008B5C71">
            <w:pPr>
              <w:pStyle w:val="NormalWeb"/>
              <w:spacing w:before="0" w:beforeAutospacing="0" w:after="0" w:afterAutospacing="0"/>
              <w:jc w:val="both"/>
              <w:rPr>
                <w:rFonts w:ascii="Helvetica" w:hAnsi="Helvetica" w:cs="Arial"/>
                <w:bCs/>
                <w:color w:val="201D23"/>
                <w:sz w:val="18"/>
                <w:szCs w:val="18"/>
              </w:rPr>
            </w:pPr>
            <w:hyperlink r:id="rId20" w:history="1">
              <w:r w:rsidRPr="009626E5">
                <w:rPr>
                  <w:rStyle w:val="Lienhypertexte"/>
                  <w:rFonts w:ascii="Helvetica" w:hAnsi="Helvetica" w:cs="Arial"/>
                  <w:bCs/>
                  <w:sz w:val="18"/>
                  <w:szCs w:val="18"/>
                </w:rPr>
                <w:t>www.ccomptes.fr</w:t>
              </w:r>
            </w:hyperlink>
            <w:r w:rsidRPr="009626E5">
              <w:rPr>
                <w:rFonts w:ascii="Helvetica" w:hAnsi="Helvetica" w:cs="Arial"/>
                <w:bCs/>
                <w:color w:val="201D23"/>
                <w:sz w:val="18"/>
                <w:szCs w:val="18"/>
              </w:rPr>
              <w:t xml:space="preserve"> </w:t>
            </w:r>
          </w:p>
          <w:p w14:paraId="560932C9" w14:textId="3361328F" w:rsidR="00B143E5" w:rsidRDefault="00B143E5" w:rsidP="008B5C71">
            <w:pPr>
              <w:pStyle w:val="NormalWeb"/>
              <w:spacing w:before="0" w:beforeAutospacing="0" w:after="0" w:afterAutospacing="0"/>
              <w:jc w:val="both"/>
              <w:rPr>
                <w:rFonts w:ascii="Helvetica" w:hAnsi="Helvetica" w:cs="Arial"/>
                <w:b/>
                <w:bCs/>
                <w:color w:val="5E0352"/>
                <w:sz w:val="20"/>
                <w:szCs w:val="20"/>
              </w:rPr>
            </w:pPr>
            <w:r>
              <w:rPr>
                <w:rFonts w:ascii="Helvetica" w:hAnsi="Helvetica" w:cs="Arial"/>
                <w:b/>
                <w:bCs/>
                <w:color w:val="5E0352"/>
                <w:sz w:val="20"/>
                <w:szCs w:val="20"/>
              </w:rPr>
              <w:br/>
            </w:r>
            <w:r w:rsidRPr="00BF1C62">
              <w:rPr>
                <w:rFonts w:ascii="Helvetica" w:hAnsi="Helvetica" w:cs="Arial"/>
                <w:b/>
                <w:bCs/>
                <w:color w:val="5E0352"/>
                <w:sz w:val="20"/>
                <w:szCs w:val="20"/>
              </w:rPr>
              <w:t>Contacts presse</w:t>
            </w:r>
            <w:r>
              <w:rPr>
                <w:rFonts w:ascii="Helvetica" w:hAnsi="Helvetica" w:cs="Arial"/>
                <w:b/>
                <w:bCs/>
                <w:color w:val="5E0352"/>
                <w:sz w:val="20"/>
                <w:szCs w:val="20"/>
              </w:rPr>
              <w:t xml:space="preserve"> : </w:t>
            </w:r>
          </w:p>
          <w:p w14:paraId="7F5D47DC" w14:textId="77777777" w:rsidR="00B143E5" w:rsidRDefault="00B143E5" w:rsidP="008B5C71">
            <w:pPr>
              <w:pStyle w:val="NormalWeb"/>
              <w:spacing w:before="0" w:beforeAutospacing="0" w:after="0" w:afterAutospacing="0"/>
              <w:jc w:val="both"/>
              <w:rPr>
                <w:rFonts w:ascii="Helvetica" w:hAnsi="Helvetica" w:cs="Arial"/>
                <w:b/>
                <w:bCs/>
                <w:color w:val="5E0352"/>
                <w:sz w:val="20"/>
                <w:szCs w:val="20"/>
              </w:rPr>
            </w:pPr>
          </w:p>
          <w:p w14:paraId="54AFD1E2" w14:textId="39EE2063" w:rsidR="00B143E5" w:rsidRPr="00BF1C62" w:rsidRDefault="00B143E5" w:rsidP="008B5C71">
            <w:pPr>
              <w:pStyle w:val="NormalWeb"/>
              <w:spacing w:before="0" w:beforeAutospacing="0" w:after="0" w:afterAutospacing="0"/>
              <w:jc w:val="both"/>
              <w:rPr>
                <w:rFonts w:ascii="Helvetica" w:hAnsi="Helvetica" w:cs="Arial"/>
                <w:b/>
                <w:bCs/>
                <w:color w:val="5E0352"/>
                <w:sz w:val="20"/>
                <w:szCs w:val="20"/>
              </w:rPr>
            </w:pPr>
            <w:r w:rsidRPr="00BF1C62">
              <w:rPr>
                <w:rFonts w:ascii="Helvetica" w:hAnsi="Helvetica" w:cs="Arial"/>
                <w:b/>
                <w:bCs/>
                <w:color w:val="5E0352"/>
                <w:sz w:val="20"/>
                <w:szCs w:val="20"/>
              </w:rPr>
              <w:t>Groupe ENSAE-ENSAI :</w:t>
            </w:r>
          </w:p>
          <w:p w14:paraId="3C26E7A7" w14:textId="456F2A1F" w:rsidR="00B143E5" w:rsidRPr="00BF1C62" w:rsidRDefault="00B143E5" w:rsidP="004B5CD9">
            <w:pPr>
              <w:pStyle w:val="NormalWeb"/>
              <w:spacing w:before="0" w:beforeAutospacing="0" w:after="0" w:afterAutospacing="0"/>
              <w:jc w:val="both"/>
              <w:rPr>
                <w:rFonts w:ascii="Helvetica" w:hAnsi="Helvetica" w:cs="Calibri"/>
                <w:color w:val="212121"/>
                <w:sz w:val="20"/>
                <w:szCs w:val="20"/>
                <w:lang w:val="fi-FI"/>
              </w:rPr>
            </w:pPr>
            <w:r w:rsidRPr="00BF1C62">
              <w:rPr>
                <w:rFonts w:ascii="Helvetica" w:hAnsi="Helvetica" w:cs="Arial"/>
                <w:color w:val="5E0352"/>
                <w:sz w:val="20"/>
                <w:szCs w:val="20"/>
                <w:lang w:val="fi-FI"/>
              </w:rPr>
              <w:t>Mona Hassani :</w:t>
            </w:r>
            <w:r w:rsidRPr="00BF1C62">
              <w:rPr>
                <w:rStyle w:val="apple-converted-space"/>
                <w:rFonts w:ascii="Helvetica" w:eastAsiaTheme="majorEastAsia" w:hAnsi="Helvetica" w:cs="Arial"/>
                <w:color w:val="5E0352"/>
                <w:sz w:val="20"/>
                <w:szCs w:val="20"/>
                <w:lang w:val="fi-FI"/>
              </w:rPr>
              <w:t> </w:t>
            </w:r>
            <w:hyperlink r:id="rId21" w:tooltip="mailto:mona.hassani@ekno.fr" w:history="1">
              <w:r w:rsidRPr="00BF1C62">
                <w:rPr>
                  <w:rStyle w:val="Lienhypertexte"/>
                  <w:rFonts w:ascii="Helvetica" w:eastAsiaTheme="majorEastAsia" w:hAnsi="Helvetica" w:cs="Arial"/>
                  <w:color w:val="5E0352"/>
                  <w:sz w:val="20"/>
                  <w:szCs w:val="20"/>
                  <w:lang w:val="fi-FI"/>
                </w:rPr>
                <w:t>mona.hassani@ekno.fr</w:t>
              </w:r>
            </w:hyperlink>
            <w:r w:rsidRPr="00BF1C62">
              <w:rPr>
                <w:rStyle w:val="apple-converted-space"/>
                <w:rFonts w:ascii="Helvetica" w:eastAsiaTheme="majorEastAsia" w:hAnsi="Helvetica" w:cs="Arial"/>
                <w:color w:val="5E0352"/>
                <w:sz w:val="20"/>
                <w:szCs w:val="20"/>
                <w:lang w:val="fi-FI"/>
              </w:rPr>
              <w:t> </w:t>
            </w:r>
            <w:r w:rsidRPr="00BF1C62">
              <w:rPr>
                <w:rFonts w:ascii="Helvetica" w:hAnsi="Helvetica" w:cs="Arial"/>
                <w:color w:val="5E0352"/>
                <w:sz w:val="20"/>
                <w:szCs w:val="20"/>
                <w:lang w:val="fi-FI"/>
              </w:rPr>
              <w:t>I 06.13.78.61.61</w:t>
            </w:r>
          </w:p>
          <w:p w14:paraId="20AA7725" w14:textId="0BCC6997" w:rsidR="00B143E5" w:rsidRPr="00BF1C62" w:rsidRDefault="00B143E5" w:rsidP="004B5CD9">
            <w:pPr>
              <w:pStyle w:val="NormalWeb"/>
              <w:spacing w:before="0" w:beforeAutospacing="0" w:after="0" w:afterAutospacing="0"/>
              <w:jc w:val="both"/>
              <w:rPr>
                <w:rFonts w:ascii="Helvetica" w:hAnsi="Helvetica" w:cs="Arial"/>
                <w:color w:val="5E0352"/>
                <w:sz w:val="20"/>
                <w:szCs w:val="20"/>
              </w:rPr>
            </w:pPr>
            <w:r w:rsidRPr="00BF1C62">
              <w:rPr>
                <w:rFonts w:ascii="Helvetica" w:hAnsi="Helvetica" w:cs="Arial"/>
                <w:color w:val="5E0352"/>
                <w:sz w:val="20"/>
                <w:szCs w:val="20"/>
              </w:rPr>
              <w:t>Murielle Mazau :</w:t>
            </w:r>
            <w:r w:rsidRPr="00BF1C62">
              <w:rPr>
                <w:rStyle w:val="apple-converted-space"/>
                <w:rFonts w:ascii="Helvetica" w:eastAsiaTheme="majorEastAsia" w:hAnsi="Helvetica" w:cs="Arial"/>
                <w:color w:val="5E0352"/>
                <w:sz w:val="20"/>
                <w:szCs w:val="20"/>
              </w:rPr>
              <w:t> </w:t>
            </w:r>
            <w:hyperlink r:id="rId22" w:tooltip="mailto:murielle.mazau@ekno.fr" w:history="1">
              <w:r w:rsidRPr="00BF1C62">
                <w:rPr>
                  <w:rStyle w:val="Lienhypertexte"/>
                  <w:rFonts w:ascii="Helvetica" w:eastAsiaTheme="majorEastAsia" w:hAnsi="Helvetica" w:cs="Arial"/>
                  <w:color w:val="5E0352"/>
                  <w:sz w:val="20"/>
                  <w:szCs w:val="20"/>
                </w:rPr>
                <w:t>murielle.mazau@ekno.fr</w:t>
              </w:r>
            </w:hyperlink>
            <w:r w:rsidRPr="00BF1C62">
              <w:rPr>
                <w:rStyle w:val="apple-converted-space"/>
                <w:rFonts w:ascii="Helvetica" w:eastAsiaTheme="majorEastAsia" w:hAnsi="Helvetica" w:cs="Arial"/>
                <w:color w:val="5E0352"/>
                <w:sz w:val="20"/>
                <w:szCs w:val="20"/>
              </w:rPr>
              <w:t> </w:t>
            </w:r>
            <w:r w:rsidRPr="00BF1C62">
              <w:rPr>
                <w:rFonts w:ascii="Helvetica" w:hAnsi="Helvetica" w:cs="Arial"/>
                <w:color w:val="5E0352"/>
                <w:sz w:val="20"/>
                <w:szCs w:val="20"/>
              </w:rPr>
              <w:t>I 06.46.90.32.8</w:t>
            </w:r>
            <w:r>
              <w:rPr>
                <w:rFonts w:ascii="Helvetica" w:hAnsi="Helvetica" w:cs="Arial"/>
                <w:color w:val="5E0352"/>
                <w:sz w:val="20"/>
                <w:szCs w:val="20"/>
              </w:rPr>
              <w:t>0</w:t>
            </w:r>
          </w:p>
        </w:tc>
      </w:tr>
    </w:tbl>
    <w:p w14:paraId="6A12E951" w14:textId="77777777" w:rsidR="00A47DE1" w:rsidRPr="003434BF" w:rsidRDefault="00A47DE1" w:rsidP="003B341D">
      <w:pPr>
        <w:rPr>
          <w:rFonts w:ascii="Helvetica" w:hAnsi="Helvetica"/>
        </w:rPr>
      </w:pPr>
    </w:p>
    <w:sectPr w:rsidR="00A47DE1" w:rsidRPr="003434BF" w:rsidSect="00AA5335">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3BEA" w14:textId="77777777" w:rsidR="00822297" w:rsidRDefault="00822297" w:rsidP="007D581B">
      <w:pPr>
        <w:spacing w:after="0" w:line="240" w:lineRule="auto"/>
      </w:pPr>
      <w:r>
        <w:separator/>
      </w:r>
    </w:p>
  </w:endnote>
  <w:endnote w:type="continuationSeparator" w:id="0">
    <w:p w14:paraId="2107EBF4" w14:textId="77777777" w:rsidR="00822297" w:rsidRDefault="00822297" w:rsidP="007D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23EC" w14:textId="77777777" w:rsidR="00822297" w:rsidRDefault="00822297" w:rsidP="007D581B">
      <w:pPr>
        <w:spacing w:after="0" w:line="240" w:lineRule="auto"/>
      </w:pPr>
      <w:r>
        <w:separator/>
      </w:r>
    </w:p>
  </w:footnote>
  <w:footnote w:type="continuationSeparator" w:id="0">
    <w:p w14:paraId="0FA4798E" w14:textId="77777777" w:rsidR="00822297" w:rsidRDefault="00822297" w:rsidP="007D5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8D3"/>
    <w:multiLevelType w:val="hybridMultilevel"/>
    <w:tmpl w:val="E7AC3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57887"/>
    <w:multiLevelType w:val="hybridMultilevel"/>
    <w:tmpl w:val="DC7860BE"/>
    <w:lvl w:ilvl="0" w:tplc="2EA6F7F4">
      <w:numFmt w:val="bullet"/>
      <w:lvlText w:val="-"/>
      <w:lvlJc w:val="left"/>
      <w:pPr>
        <w:ind w:left="720" w:hanging="360"/>
      </w:pPr>
      <w:rPr>
        <w:rFonts w:ascii="Helvetica" w:eastAsiaTheme="minorEastAsia"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50AC2"/>
    <w:multiLevelType w:val="multilevel"/>
    <w:tmpl w:val="FED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248C9"/>
    <w:multiLevelType w:val="multilevel"/>
    <w:tmpl w:val="F3F4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605E51"/>
    <w:multiLevelType w:val="hybridMultilevel"/>
    <w:tmpl w:val="F60CDC4C"/>
    <w:lvl w:ilvl="0" w:tplc="DFBE1786">
      <w:start w:val="4"/>
      <w:numFmt w:val="bullet"/>
      <w:lvlText w:val="-"/>
      <w:lvlJc w:val="left"/>
      <w:pPr>
        <w:ind w:left="720" w:hanging="360"/>
      </w:pPr>
      <w:rPr>
        <w:rFonts w:ascii="Helvetica" w:eastAsia="Calibr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9385F"/>
    <w:multiLevelType w:val="multilevel"/>
    <w:tmpl w:val="9A36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8003A9"/>
    <w:multiLevelType w:val="multilevel"/>
    <w:tmpl w:val="3ACAB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C0299"/>
    <w:multiLevelType w:val="hybridMultilevel"/>
    <w:tmpl w:val="9DDA4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5247219">
    <w:abstractNumId w:val="2"/>
  </w:num>
  <w:num w:numId="2" w16cid:durableId="1547906390">
    <w:abstractNumId w:val="6"/>
  </w:num>
  <w:num w:numId="3" w16cid:durableId="259409832">
    <w:abstractNumId w:val="5"/>
  </w:num>
  <w:num w:numId="4" w16cid:durableId="971864074">
    <w:abstractNumId w:val="3"/>
  </w:num>
  <w:num w:numId="5" w16cid:durableId="191504079">
    <w:abstractNumId w:val="1"/>
  </w:num>
  <w:num w:numId="6" w16cid:durableId="1445685981">
    <w:abstractNumId w:val="4"/>
  </w:num>
  <w:num w:numId="7" w16cid:durableId="357199128">
    <w:abstractNumId w:val="0"/>
  </w:num>
  <w:num w:numId="8" w16cid:durableId="640116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14"/>
    <w:rsid w:val="00003733"/>
    <w:rsid w:val="0000616C"/>
    <w:rsid w:val="000165EB"/>
    <w:rsid w:val="000200D2"/>
    <w:rsid w:val="00021411"/>
    <w:rsid w:val="00023E3D"/>
    <w:rsid w:val="00023F26"/>
    <w:rsid w:val="00024CEE"/>
    <w:rsid w:val="00026FD8"/>
    <w:rsid w:val="00027561"/>
    <w:rsid w:val="00030B42"/>
    <w:rsid w:val="00036C54"/>
    <w:rsid w:val="000432C0"/>
    <w:rsid w:val="00053267"/>
    <w:rsid w:val="000542B1"/>
    <w:rsid w:val="000561C4"/>
    <w:rsid w:val="00064901"/>
    <w:rsid w:val="00064A78"/>
    <w:rsid w:val="00071DB6"/>
    <w:rsid w:val="0008074E"/>
    <w:rsid w:val="000955B8"/>
    <w:rsid w:val="00095B20"/>
    <w:rsid w:val="00096B7B"/>
    <w:rsid w:val="000A1831"/>
    <w:rsid w:val="000A1BB6"/>
    <w:rsid w:val="000A2BC7"/>
    <w:rsid w:val="000A3466"/>
    <w:rsid w:val="000A4A2A"/>
    <w:rsid w:val="000A5E42"/>
    <w:rsid w:val="000B33AF"/>
    <w:rsid w:val="000C0ECB"/>
    <w:rsid w:val="000C182C"/>
    <w:rsid w:val="000C6FB2"/>
    <w:rsid w:val="000C7FE5"/>
    <w:rsid w:val="000D2D70"/>
    <w:rsid w:val="000E5E5D"/>
    <w:rsid w:val="00100DD6"/>
    <w:rsid w:val="00102A01"/>
    <w:rsid w:val="0011483B"/>
    <w:rsid w:val="00116B20"/>
    <w:rsid w:val="00126D9B"/>
    <w:rsid w:val="001331DF"/>
    <w:rsid w:val="0013615A"/>
    <w:rsid w:val="00144EEC"/>
    <w:rsid w:val="0015242C"/>
    <w:rsid w:val="00153C86"/>
    <w:rsid w:val="00155BC5"/>
    <w:rsid w:val="00180373"/>
    <w:rsid w:val="00180FA0"/>
    <w:rsid w:val="001828EF"/>
    <w:rsid w:val="00192132"/>
    <w:rsid w:val="001A1522"/>
    <w:rsid w:val="001A6935"/>
    <w:rsid w:val="001B568A"/>
    <w:rsid w:val="001B624A"/>
    <w:rsid w:val="001B7FC3"/>
    <w:rsid w:val="001C0E32"/>
    <w:rsid w:val="001D1529"/>
    <w:rsid w:val="001D4B18"/>
    <w:rsid w:val="001D5463"/>
    <w:rsid w:val="001D7D6A"/>
    <w:rsid w:val="001F5561"/>
    <w:rsid w:val="00206290"/>
    <w:rsid w:val="00211537"/>
    <w:rsid w:val="002130C1"/>
    <w:rsid w:val="0022155B"/>
    <w:rsid w:val="002264AB"/>
    <w:rsid w:val="0023453E"/>
    <w:rsid w:val="0023591E"/>
    <w:rsid w:val="00237B22"/>
    <w:rsid w:val="0024024B"/>
    <w:rsid w:val="00244C12"/>
    <w:rsid w:val="00245B44"/>
    <w:rsid w:val="00254307"/>
    <w:rsid w:val="0026205B"/>
    <w:rsid w:val="0027764B"/>
    <w:rsid w:val="00283E9E"/>
    <w:rsid w:val="0028494B"/>
    <w:rsid w:val="00292274"/>
    <w:rsid w:val="002A3C2C"/>
    <w:rsid w:val="002A651B"/>
    <w:rsid w:val="002B0B2F"/>
    <w:rsid w:val="002B0BEA"/>
    <w:rsid w:val="002B498F"/>
    <w:rsid w:val="002E6E37"/>
    <w:rsid w:val="002F0615"/>
    <w:rsid w:val="002F342D"/>
    <w:rsid w:val="00301CF9"/>
    <w:rsid w:val="00304DBE"/>
    <w:rsid w:val="003076BC"/>
    <w:rsid w:val="00307C47"/>
    <w:rsid w:val="00312798"/>
    <w:rsid w:val="00313CD9"/>
    <w:rsid w:val="00323071"/>
    <w:rsid w:val="00330912"/>
    <w:rsid w:val="00331958"/>
    <w:rsid w:val="00335324"/>
    <w:rsid w:val="00336118"/>
    <w:rsid w:val="00342626"/>
    <w:rsid w:val="003434BF"/>
    <w:rsid w:val="00364B2D"/>
    <w:rsid w:val="00374D3A"/>
    <w:rsid w:val="00375CB2"/>
    <w:rsid w:val="0038206A"/>
    <w:rsid w:val="00384387"/>
    <w:rsid w:val="00385857"/>
    <w:rsid w:val="003944A2"/>
    <w:rsid w:val="003A606E"/>
    <w:rsid w:val="003B341D"/>
    <w:rsid w:val="003C2E90"/>
    <w:rsid w:val="003D1BC0"/>
    <w:rsid w:val="003F7D4B"/>
    <w:rsid w:val="004028E5"/>
    <w:rsid w:val="00407282"/>
    <w:rsid w:val="00410C9C"/>
    <w:rsid w:val="00426569"/>
    <w:rsid w:val="00434925"/>
    <w:rsid w:val="004361F8"/>
    <w:rsid w:val="004400C4"/>
    <w:rsid w:val="0046054D"/>
    <w:rsid w:val="00460594"/>
    <w:rsid w:val="00464D0B"/>
    <w:rsid w:val="0048414D"/>
    <w:rsid w:val="00485BD4"/>
    <w:rsid w:val="00486399"/>
    <w:rsid w:val="004A2AC0"/>
    <w:rsid w:val="004B5CD9"/>
    <w:rsid w:val="004D1C69"/>
    <w:rsid w:val="004D3542"/>
    <w:rsid w:val="004E711D"/>
    <w:rsid w:val="004F66D9"/>
    <w:rsid w:val="004F6AAB"/>
    <w:rsid w:val="004F6D38"/>
    <w:rsid w:val="0052001C"/>
    <w:rsid w:val="00520ED9"/>
    <w:rsid w:val="00521F01"/>
    <w:rsid w:val="00524DAE"/>
    <w:rsid w:val="00530C8D"/>
    <w:rsid w:val="005329A8"/>
    <w:rsid w:val="00533024"/>
    <w:rsid w:val="00542D82"/>
    <w:rsid w:val="00552C6E"/>
    <w:rsid w:val="0056016C"/>
    <w:rsid w:val="00566AC7"/>
    <w:rsid w:val="00572E9B"/>
    <w:rsid w:val="0057363B"/>
    <w:rsid w:val="00575499"/>
    <w:rsid w:val="00575EAC"/>
    <w:rsid w:val="005765A5"/>
    <w:rsid w:val="0058287C"/>
    <w:rsid w:val="00593C4E"/>
    <w:rsid w:val="005A06A6"/>
    <w:rsid w:val="005B34C5"/>
    <w:rsid w:val="005B55E2"/>
    <w:rsid w:val="005B7E14"/>
    <w:rsid w:val="005E15D8"/>
    <w:rsid w:val="005E7578"/>
    <w:rsid w:val="005F2D92"/>
    <w:rsid w:val="005F613B"/>
    <w:rsid w:val="00605AE2"/>
    <w:rsid w:val="0061168B"/>
    <w:rsid w:val="00612CFE"/>
    <w:rsid w:val="00617FA8"/>
    <w:rsid w:val="006217E6"/>
    <w:rsid w:val="0064179F"/>
    <w:rsid w:val="006543E4"/>
    <w:rsid w:val="0066168F"/>
    <w:rsid w:val="006653CB"/>
    <w:rsid w:val="006731E1"/>
    <w:rsid w:val="00674AC6"/>
    <w:rsid w:val="006776C5"/>
    <w:rsid w:val="00682593"/>
    <w:rsid w:val="00684115"/>
    <w:rsid w:val="00692367"/>
    <w:rsid w:val="006945BA"/>
    <w:rsid w:val="00694638"/>
    <w:rsid w:val="006A3FA5"/>
    <w:rsid w:val="006A405A"/>
    <w:rsid w:val="006C4232"/>
    <w:rsid w:val="006D7B9C"/>
    <w:rsid w:val="006E1861"/>
    <w:rsid w:val="006E2580"/>
    <w:rsid w:val="006E2EEA"/>
    <w:rsid w:val="006E523A"/>
    <w:rsid w:val="00701088"/>
    <w:rsid w:val="00702502"/>
    <w:rsid w:val="007038EB"/>
    <w:rsid w:val="00712960"/>
    <w:rsid w:val="007131B0"/>
    <w:rsid w:val="00735FB8"/>
    <w:rsid w:val="00740020"/>
    <w:rsid w:val="00753A0F"/>
    <w:rsid w:val="00755215"/>
    <w:rsid w:val="007615B8"/>
    <w:rsid w:val="00761AA3"/>
    <w:rsid w:val="00761F1A"/>
    <w:rsid w:val="00770699"/>
    <w:rsid w:val="00772123"/>
    <w:rsid w:val="00772340"/>
    <w:rsid w:val="007764D2"/>
    <w:rsid w:val="007869C9"/>
    <w:rsid w:val="0079139B"/>
    <w:rsid w:val="0079146A"/>
    <w:rsid w:val="00793801"/>
    <w:rsid w:val="00794ABF"/>
    <w:rsid w:val="007961FE"/>
    <w:rsid w:val="007A4F10"/>
    <w:rsid w:val="007B5099"/>
    <w:rsid w:val="007B61D6"/>
    <w:rsid w:val="007B7E3D"/>
    <w:rsid w:val="007D0DED"/>
    <w:rsid w:val="007D306D"/>
    <w:rsid w:val="007D581B"/>
    <w:rsid w:val="007D754E"/>
    <w:rsid w:val="007E01EB"/>
    <w:rsid w:val="007E1D23"/>
    <w:rsid w:val="007E5E83"/>
    <w:rsid w:val="007F0189"/>
    <w:rsid w:val="007F028D"/>
    <w:rsid w:val="007F1CD6"/>
    <w:rsid w:val="007F4787"/>
    <w:rsid w:val="007F57AC"/>
    <w:rsid w:val="007F78E3"/>
    <w:rsid w:val="00800BBB"/>
    <w:rsid w:val="00801D8D"/>
    <w:rsid w:val="00802802"/>
    <w:rsid w:val="0080447C"/>
    <w:rsid w:val="00810CFC"/>
    <w:rsid w:val="00815402"/>
    <w:rsid w:val="00820778"/>
    <w:rsid w:val="00822297"/>
    <w:rsid w:val="008264FA"/>
    <w:rsid w:val="008269C5"/>
    <w:rsid w:val="008349C2"/>
    <w:rsid w:val="008371C1"/>
    <w:rsid w:val="0084444D"/>
    <w:rsid w:val="00852C94"/>
    <w:rsid w:val="00856316"/>
    <w:rsid w:val="00863332"/>
    <w:rsid w:val="00863572"/>
    <w:rsid w:val="00865E84"/>
    <w:rsid w:val="00872351"/>
    <w:rsid w:val="00883933"/>
    <w:rsid w:val="00886B7F"/>
    <w:rsid w:val="0089076A"/>
    <w:rsid w:val="008B5C71"/>
    <w:rsid w:val="008C0992"/>
    <w:rsid w:val="008C1CB5"/>
    <w:rsid w:val="008C4F35"/>
    <w:rsid w:val="008D02D3"/>
    <w:rsid w:val="008E16E5"/>
    <w:rsid w:val="008E1799"/>
    <w:rsid w:val="008E299E"/>
    <w:rsid w:val="008E2CD9"/>
    <w:rsid w:val="008F1122"/>
    <w:rsid w:val="008F1473"/>
    <w:rsid w:val="008F1E80"/>
    <w:rsid w:val="00901741"/>
    <w:rsid w:val="0090300A"/>
    <w:rsid w:val="0090580E"/>
    <w:rsid w:val="00920DF8"/>
    <w:rsid w:val="0092400D"/>
    <w:rsid w:val="00926B73"/>
    <w:rsid w:val="0093270B"/>
    <w:rsid w:val="00935C31"/>
    <w:rsid w:val="00945E77"/>
    <w:rsid w:val="009466D1"/>
    <w:rsid w:val="009503A6"/>
    <w:rsid w:val="009509FC"/>
    <w:rsid w:val="009626E5"/>
    <w:rsid w:val="009763AF"/>
    <w:rsid w:val="00976BD2"/>
    <w:rsid w:val="0098024B"/>
    <w:rsid w:val="00982D8A"/>
    <w:rsid w:val="0098585F"/>
    <w:rsid w:val="009863A5"/>
    <w:rsid w:val="009913FC"/>
    <w:rsid w:val="0099616F"/>
    <w:rsid w:val="009974CA"/>
    <w:rsid w:val="009A77B1"/>
    <w:rsid w:val="009B50FA"/>
    <w:rsid w:val="009C0FE6"/>
    <w:rsid w:val="009C1DF0"/>
    <w:rsid w:val="009C4AEF"/>
    <w:rsid w:val="009C5C16"/>
    <w:rsid w:val="009D43E4"/>
    <w:rsid w:val="009E7E1A"/>
    <w:rsid w:val="009F6D1A"/>
    <w:rsid w:val="00A003FC"/>
    <w:rsid w:val="00A05D47"/>
    <w:rsid w:val="00A06783"/>
    <w:rsid w:val="00A119D0"/>
    <w:rsid w:val="00A1745F"/>
    <w:rsid w:val="00A17C68"/>
    <w:rsid w:val="00A17E65"/>
    <w:rsid w:val="00A204F2"/>
    <w:rsid w:val="00A3187C"/>
    <w:rsid w:val="00A40BA5"/>
    <w:rsid w:val="00A4335D"/>
    <w:rsid w:val="00A4544E"/>
    <w:rsid w:val="00A4761D"/>
    <w:rsid w:val="00A47DE1"/>
    <w:rsid w:val="00A5384F"/>
    <w:rsid w:val="00A54B81"/>
    <w:rsid w:val="00A8750C"/>
    <w:rsid w:val="00A917CC"/>
    <w:rsid w:val="00A937AE"/>
    <w:rsid w:val="00AA5335"/>
    <w:rsid w:val="00AB0920"/>
    <w:rsid w:val="00AB5553"/>
    <w:rsid w:val="00AB7122"/>
    <w:rsid w:val="00AB71B3"/>
    <w:rsid w:val="00AB7758"/>
    <w:rsid w:val="00AD2966"/>
    <w:rsid w:val="00AD3913"/>
    <w:rsid w:val="00AD3F87"/>
    <w:rsid w:val="00AE0A06"/>
    <w:rsid w:val="00AE0DF7"/>
    <w:rsid w:val="00AE1735"/>
    <w:rsid w:val="00AF4326"/>
    <w:rsid w:val="00AF566F"/>
    <w:rsid w:val="00B0304E"/>
    <w:rsid w:val="00B055FC"/>
    <w:rsid w:val="00B102AA"/>
    <w:rsid w:val="00B11378"/>
    <w:rsid w:val="00B143E5"/>
    <w:rsid w:val="00B31190"/>
    <w:rsid w:val="00B3521E"/>
    <w:rsid w:val="00B51A4A"/>
    <w:rsid w:val="00B52A68"/>
    <w:rsid w:val="00B56099"/>
    <w:rsid w:val="00B56F1D"/>
    <w:rsid w:val="00B610DB"/>
    <w:rsid w:val="00B67939"/>
    <w:rsid w:val="00B7682C"/>
    <w:rsid w:val="00B7799F"/>
    <w:rsid w:val="00B914E7"/>
    <w:rsid w:val="00B95E9C"/>
    <w:rsid w:val="00B97896"/>
    <w:rsid w:val="00BA350A"/>
    <w:rsid w:val="00BA6359"/>
    <w:rsid w:val="00BA74AA"/>
    <w:rsid w:val="00BB4883"/>
    <w:rsid w:val="00BB6F35"/>
    <w:rsid w:val="00BC4645"/>
    <w:rsid w:val="00BF04E9"/>
    <w:rsid w:val="00BF1C62"/>
    <w:rsid w:val="00BF2CAA"/>
    <w:rsid w:val="00BF50D9"/>
    <w:rsid w:val="00C0121A"/>
    <w:rsid w:val="00C02570"/>
    <w:rsid w:val="00C04A2D"/>
    <w:rsid w:val="00C057DF"/>
    <w:rsid w:val="00C0607B"/>
    <w:rsid w:val="00C06F09"/>
    <w:rsid w:val="00C10C0E"/>
    <w:rsid w:val="00C35BC9"/>
    <w:rsid w:val="00C36D62"/>
    <w:rsid w:val="00C373D1"/>
    <w:rsid w:val="00C4049F"/>
    <w:rsid w:val="00C41A27"/>
    <w:rsid w:val="00C44655"/>
    <w:rsid w:val="00C46FDF"/>
    <w:rsid w:val="00C50DFE"/>
    <w:rsid w:val="00C56981"/>
    <w:rsid w:val="00C64331"/>
    <w:rsid w:val="00C73321"/>
    <w:rsid w:val="00C84EC7"/>
    <w:rsid w:val="00C918FD"/>
    <w:rsid w:val="00CB3C94"/>
    <w:rsid w:val="00CB6C5C"/>
    <w:rsid w:val="00CE373E"/>
    <w:rsid w:val="00D0025C"/>
    <w:rsid w:val="00D05B67"/>
    <w:rsid w:val="00D11D8A"/>
    <w:rsid w:val="00D269CE"/>
    <w:rsid w:val="00D32E0D"/>
    <w:rsid w:val="00D355C9"/>
    <w:rsid w:val="00D5166F"/>
    <w:rsid w:val="00D52B62"/>
    <w:rsid w:val="00D56B1D"/>
    <w:rsid w:val="00D56E53"/>
    <w:rsid w:val="00D74D47"/>
    <w:rsid w:val="00D84B14"/>
    <w:rsid w:val="00D9061F"/>
    <w:rsid w:val="00D9411C"/>
    <w:rsid w:val="00D94A1F"/>
    <w:rsid w:val="00D97BBE"/>
    <w:rsid w:val="00DA4648"/>
    <w:rsid w:val="00DA49DF"/>
    <w:rsid w:val="00DB4A9B"/>
    <w:rsid w:val="00DB7829"/>
    <w:rsid w:val="00DE0FD0"/>
    <w:rsid w:val="00DE2377"/>
    <w:rsid w:val="00DF1F46"/>
    <w:rsid w:val="00DF75FA"/>
    <w:rsid w:val="00E00973"/>
    <w:rsid w:val="00E01509"/>
    <w:rsid w:val="00E1694B"/>
    <w:rsid w:val="00E1752B"/>
    <w:rsid w:val="00E17F8A"/>
    <w:rsid w:val="00E23D82"/>
    <w:rsid w:val="00E24BA0"/>
    <w:rsid w:val="00E34A42"/>
    <w:rsid w:val="00E3506F"/>
    <w:rsid w:val="00E373F8"/>
    <w:rsid w:val="00E37FDF"/>
    <w:rsid w:val="00E52147"/>
    <w:rsid w:val="00E54FAC"/>
    <w:rsid w:val="00E64CF8"/>
    <w:rsid w:val="00E70186"/>
    <w:rsid w:val="00E71E0A"/>
    <w:rsid w:val="00E72F2D"/>
    <w:rsid w:val="00E8734C"/>
    <w:rsid w:val="00E94949"/>
    <w:rsid w:val="00EA2760"/>
    <w:rsid w:val="00EA6896"/>
    <w:rsid w:val="00EB0D8A"/>
    <w:rsid w:val="00EB22F1"/>
    <w:rsid w:val="00EB3DCB"/>
    <w:rsid w:val="00EB6AC9"/>
    <w:rsid w:val="00EB6E7B"/>
    <w:rsid w:val="00EB73DA"/>
    <w:rsid w:val="00EC4BFF"/>
    <w:rsid w:val="00ED0070"/>
    <w:rsid w:val="00ED113D"/>
    <w:rsid w:val="00ED60E9"/>
    <w:rsid w:val="00EE25EE"/>
    <w:rsid w:val="00EE2FB6"/>
    <w:rsid w:val="00EE3BB8"/>
    <w:rsid w:val="00EE4BC4"/>
    <w:rsid w:val="00EF1785"/>
    <w:rsid w:val="00EF2D61"/>
    <w:rsid w:val="00EF631E"/>
    <w:rsid w:val="00F00057"/>
    <w:rsid w:val="00F02E78"/>
    <w:rsid w:val="00F02FF5"/>
    <w:rsid w:val="00F057DC"/>
    <w:rsid w:val="00F26033"/>
    <w:rsid w:val="00F352BB"/>
    <w:rsid w:val="00F37DF0"/>
    <w:rsid w:val="00F4074B"/>
    <w:rsid w:val="00F42315"/>
    <w:rsid w:val="00F42CF4"/>
    <w:rsid w:val="00F45034"/>
    <w:rsid w:val="00F54430"/>
    <w:rsid w:val="00F60FB2"/>
    <w:rsid w:val="00F62DB1"/>
    <w:rsid w:val="00F66670"/>
    <w:rsid w:val="00F75A8F"/>
    <w:rsid w:val="00F82953"/>
    <w:rsid w:val="00F84E8E"/>
    <w:rsid w:val="00F94784"/>
    <w:rsid w:val="00F9762B"/>
    <w:rsid w:val="00FA14A3"/>
    <w:rsid w:val="00FA1AC2"/>
    <w:rsid w:val="00FA62A9"/>
    <w:rsid w:val="00FA6BCE"/>
    <w:rsid w:val="00FB33AD"/>
    <w:rsid w:val="00FB51E9"/>
    <w:rsid w:val="00FD36E4"/>
    <w:rsid w:val="00FD5514"/>
    <w:rsid w:val="00FE05BB"/>
    <w:rsid w:val="00FE2299"/>
    <w:rsid w:val="00FE4115"/>
    <w:rsid w:val="00FE4321"/>
    <w:rsid w:val="00FF09A5"/>
    <w:rsid w:val="00FF176E"/>
    <w:rsid w:val="00FF6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9A46"/>
  <w15:chartTrackingRefBased/>
  <w15:docId w15:val="{DB1AA60D-3461-4E1D-AA8B-6DC90CE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4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4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4B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4B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4B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4B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4B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4B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4B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4B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4B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4B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4B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4B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4B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4B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4B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4B14"/>
    <w:rPr>
      <w:rFonts w:eastAsiaTheme="majorEastAsia" w:cstheme="majorBidi"/>
      <w:color w:val="272727" w:themeColor="text1" w:themeTint="D8"/>
    </w:rPr>
  </w:style>
  <w:style w:type="paragraph" w:styleId="Titre">
    <w:name w:val="Title"/>
    <w:basedOn w:val="Normal"/>
    <w:next w:val="Normal"/>
    <w:link w:val="TitreCar"/>
    <w:uiPriority w:val="10"/>
    <w:qFormat/>
    <w:rsid w:val="00D84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4B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4B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4B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4B14"/>
    <w:pPr>
      <w:spacing w:before="160"/>
      <w:jc w:val="center"/>
    </w:pPr>
    <w:rPr>
      <w:i/>
      <w:iCs/>
      <w:color w:val="404040" w:themeColor="text1" w:themeTint="BF"/>
    </w:rPr>
  </w:style>
  <w:style w:type="character" w:customStyle="1" w:styleId="CitationCar">
    <w:name w:val="Citation Car"/>
    <w:basedOn w:val="Policepardfaut"/>
    <w:link w:val="Citation"/>
    <w:uiPriority w:val="29"/>
    <w:rsid w:val="00D84B14"/>
    <w:rPr>
      <w:i/>
      <w:iCs/>
      <w:color w:val="404040" w:themeColor="text1" w:themeTint="BF"/>
    </w:rPr>
  </w:style>
  <w:style w:type="paragraph" w:styleId="Paragraphedeliste">
    <w:name w:val="List Paragraph"/>
    <w:basedOn w:val="Normal"/>
    <w:uiPriority w:val="34"/>
    <w:qFormat/>
    <w:rsid w:val="00D84B14"/>
    <w:pPr>
      <w:ind w:left="720"/>
      <w:contextualSpacing/>
    </w:pPr>
  </w:style>
  <w:style w:type="character" w:styleId="Accentuationintense">
    <w:name w:val="Intense Emphasis"/>
    <w:basedOn w:val="Policepardfaut"/>
    <w:uiPriority w:val="21"/>
    <w:qFormat/>
    <w:rsid w:val="00D84B14"/>
    <w:rPr>
      <w:i/>
      <w:iCs/>
      <w:color w:val="0F4761" w:themeColor="accent1" w:themeShade="BF"/>
    </w:rPr>
  </w:style>
  <w:style w:type="paragraph" w:styleId="Citationintense">
    <w:name w:val="Intense Quote"/>
    <w:basedOn w:val="Normal"/>
    <w:next w:val="Normal"/>
    <w:link w:val="CitationintenseCar"/>
    <w:uiPriority w:val="30"/>
    <w:qFormat/>
    <w:rsid w:val="00D84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4B14"/>
    <w:rPr>
      <w:i/>
      <w:iCs/>
      <w:color w:val="0F4761" w:themeColor="accent1" w:themeShade="BF"/>
    </w:rPr>
  </w:style>
  <w:style w:type="character" w:styleId="Rfrenceintense">
    <w:name w:val="Intense Reference"/>
    <w:basedOn w:val="Policepardfaut"/>
    <w:uiPriority w:val="32"/>
    <w:qFormat/>
    <w:rsid w:val="00D84B14"/>
    <w:rPr>
      <w:b/>
      <w:bCs/>
      <w:smallCaps/>
      <w:color w:val="0F4761" w:themeColor="accent1" w:themeShade="BF"/>
      <w:spacing w:val="5"/>
    </w:rPr>
  </w:style>
  <w:style w:type="table" w:styleId="Grilledutableau">
    <w:name w:val="Table Grid"/>
    <w:basedOn w:val="TableauNormal"/>
    <w:uiPriority w:val="39"/>
    <w:rsid w:val="00D84B14"/>
    <w:pPr>
      <w:spacing w:after="0" w:line="240" w:lineRule="auto"/>
    </w:pPr>
    <w:tblPr/>
  </w:style>
  <w:style w:type="character" w:customStyle="1" w:styleId="apple-converted-space">
    <w:name w:val="apple-converted-space"/>
    <w:basedOn w:val="Policepardfaut"/>
    <w:rsid w:val="00D84B14"/>
  </w:style>
  <w:style w:type="character" w:styleId="Lienhypertexte">
    <w:name w:val="Hyperlink"/>
    <w:basedOn w:val="Policepardfaut"/>
    <w:uiPriority w:val="99"/>
    <w:unhideWhenUsed/>
    <w:rsid w:val="00D84B14"/>
    <w:rPr>
      <w:color w:val="0000FF"/>
      <w:u w:val="single"/>
    </w:rPr>
  </w:style>
  <w:style w:type="paragraph" w:styleId="NormalWeb">
    <w:name w:val="Normal (Web)"/>
    <w:basedOn w:val="Normal"/>
    <w:uiPriority w:val="99"/>
    <w:unhideWhenUsed/>
    <w:rsid w:val="00B610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arquedecommentaire">
    <w:name w:val="annotation reference"/>
    <w:basedOn w:val="Policepardfaut"/>
    <w:uiPriority w:val="99"/>
    <w:semiHidden/>
    <w:unhideWhenUsed/>
    <w:rsid w:val="00575EAC"/>
    <w:rPr>
      <w:sz w:val="16"/>
      <w:szCs w:val="16"/>
    </w:rPr>
  </w:style>
  <w:style w:type="paragraph" w:styleId="Commentaire">
    <w:name w:val="annotation text"/>
    <w:basedOn w:val="Normal"/>
    <w:link w:val="CommentaireCar"/>
    <w:uiPriority w:val="99"/>
    <w:semiHidden/>
    <w:unhideWhenUsed/>
    <w:rsid w:val="00575EAC"/>
    <w:pPr>
      <w:spacing w:line="240" w:lineRule="auto"/>
    </w:pPr>
    <w:rPr>
      <w:sz w:val="20"/>
      <w:szCs w:val="20"/>
    </w:rPr>
  </w:style>
  <w:style w:type="character" w:customStyle="1" w:styleId="CommentaireCar">
    <w:name w:val="Commentaire Car"/>
    <w:basedOn w:val="Policepardfaut"/>
    <w:link w:val="Commentaire"/>
    <w:uiPriority w:val="99"/>
    <w:semiHidden/>
    <w:rsid w:val="00575EAC"/>
    <w:rPr>
      <w:sz w:val="20"/>
      <w:szCs w:val="20"/>
    </w:rPr>
  </w:style>
  <w:style w:type="paragraph" w:styleId="Objetducommentaire">
    <w:name w:val="annotation subject"/>
    <w:basedOn w:val="Commentaire"/>
    <w:next w:val="Commentaire"/>
    <w:link w:val="ObjetducommentaireCar"/>
    <w:uiPriority w:val="99"/>
    <w:semiHidden/>
    <w:unhideWhenUsed/>
    <w:rsid w:val="00575EAC"/>
    <w:rPr>
      <w:b/>
      <w:bCs/>
    </w:rPr>
  </w:style>
  <w:style w:type="character" w:customStyle="1" w:styleId="ObjetducommentaireCar">
    <w:name w:val="Objet du commentaire Car"/>
    <w:basedOn w:val="CommentaireCar"/>
    <w:link w:val="Objetducommentaire"/>
    <w:uiPriority w:val="99"/>
    <w:semiHidden/>
    <w:rsid w:val="00575EAC"/>
    <w:rPr>
      <w:b/>
      <w:bCs/>
      <w:sz w:val="20"/>
      <w:szCs w:val="20"/>
    </w:rPr>
  </w:style>
  <w:style w:type="paragraph" w:styleId="Rvision">
    <w:name w:val="Revision"/>
    <w:hidden/>
    <w:uiPriority w:val="99"/>
    <w:semiHidden/>
    <w:rsid w:val="00605AE2"/>
    <w:pPr>
      <w:spacing w:after="0" w:line="240" w:lineRule="auto"/>
    </w:pPr>
  </w:style>
  <w:style w:type="paragraph" w:customStyle="1" w:styleId="Default">
    <w:name w:val="Default"/>
    <w:rsid w:val="00AE0DF7"/>
    <w:pPr>
      <w:autoSpaceDE w:val="0"/>
      <w:autoSpaceDN w:val="0"/>
      <w:adjustRightInd w:val="0"/>
      <w:spacing w:after="0" w:line="240" w:lineRule="auto"/>
    </w:pPr>
    <w:rPr>
      <w:rFonts w:ascii="Calibri" w:eastAsia="Calibri" w:hAnsi="Calibri" w:cs="Calibri"/>
      <w:color w:val="000000"/>
      <w:kern w:val="0"/>
      <w:lang w:eastAsia="fr-FR"/>
      <w14:ligatures w14:val="none"/>
    </w:rPr>
  </w:style>
  <w:style w:type="character" w:styleId="lev">
    <w:name w:val="Strong"/>
    <w:basedOn w:val="Policepardfaut"/>
    <w:uiPriority w:val="22"/>
    <w:qFormat/>
    <w:rsid w:val="0079146A"/>
    <w:rPr>
      <w:b/>
      <w:bCs/>
    </w:rPr>
  </w:style>
  <w:style w:type="character" w:styleId="Mentionnonrsolue">
    <w:name w:val="Unresolved Mention"/>
    <w:basedOn w:val="Policepardfaut"/>
    <w:uiPriority w:val="99"/>
    <w:semiHidden/>
    <w:unhideWhenUsed/>
    <w:rsid w:val="008F1E80"/>
    <w:rPr>
      <w:color w:val="605E5C"/>
      <w:shd w:val="clear" w:color="auto" w:fill="E1DFDD"/>
    </w:rPr>
  </w:style>
  <w:style w:type="character" w:styleId="Lienhypertextesuivivisit">
    <w:name w:val="FollowedHyperlink"/>
    <w:basedOn w:val="Policepardfaut"/>
    <w:uiPriority w:val="99"/>
    <w:semiHidden/>
    <w:unhideWhenUsed/>
    <w:rsid w:val="0013615A"/>
    <w:rPr>
      <w:color w:val="96607D" w:themeColor="followedHyperlink"/>
      <w:u w:val="single"/>
    </w:rPr>
  </w:style>
  <w:style w:type="paragraph" w:customStyle="1" w:styleId="pt-normal-000039">
    <w:name w:val="pt-normal-000039"/>
    <w:basedOn w:val="Normal"/>
    <w:rsid w:val="007764D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t-policepardfaut-000037">
    <w:name w:val="pt-policepardfaut-000037"/>
    <w:basedOn w:val="Policepardfaut"/>
    <w:rsid w:val="007764D2"/>
  </w:style>
  <w:style w:type="character" w:customStyle="1" w:styleId="pt-lienhypertexte-000038">
    <w:name w:val="pt-lienhypertexte-000038"/>
    <w:basedOn w:val="Policepardfaut"/>
    <w:rsid w:val="007764D2"/>
  </w:style>
  <w:style w:type="character" w:customStyle="1" w:styleId="pt-policepardfaut-000040">
    <w:name w:val="pt-policepardfaut-000040"/>
    <w:basedOn w:val="Policepardfaut"/>
    <w:rsid w:val="007764D2"/>
  </w:style>
  <w:style w:type="character" w:customStyle="1" w:styleId="spelle">
    <w:name w:val="spelle"/>
    <w:basedOn w:val="Policepardfaut"/>
    <w:qFormat/>
    <w:rsid w:val="00692367"/>
  </w:style>
  <w:style w:type="paragraph" w:styleId="En-tte">
    <w:name w:val="header"/>
    <w:basedOn w:val="Normal"/>
    <w:link w:val="En-tteCar"/>
    <w:uiPriority w:val="99"/>
    <w:unhideWhenUsed/>
    <w:rsid w:val="007D581B"/>
    <w:pPr>
      <w:tabs>
        <w:tab w:val="center" w:pos="4536"/>
        <w:tab w:val="right" w:pos="9072"/>
      </w:tabs>
      <w:spacing w:after="0" w:line="240" w:lineRule="auto"/>
    </w:pPr>
  </w:style>
  <w:style w:type="character" w:customStyle="1" w:styleId="En-tteCar">
    <w:name w:val="En-tête Car"/>
    <w:basedOn w:val="Policepardfaut"/>
    <w:link w:val="En-tte"/>
    <w:uiPriority w:val="99"/>
    <w:rsid w:val="007D581B"/>
  </w:style>
  <w:style w:type="paragraph" w:styleId="Pieddepage">
    <w:name w:val="footer"/>
    <w:basedOn w:val="Normal"/>
    <w:link w:val="PieddepageCar"/>
    <w:uiPriority w:val="99"/>
    <w:unhideWhenUsed/>
    <w:rsid w:val="007D58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81B"/>
  </w:style>
  <w:style w:type="paragraph" w:styleId="Lgende">
    <w:name w:val="caption"/>
    <w:basedOn w:val="Normal"/>
    <w:next w:val="Normal"/>
    <w:uiPriority w:val="35"/>
    <w:unhideWhenUsed/>
    <w:qFormat/>
    <w:rsid w:val="00283E9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392814">
      <w:bodyDiv w:val="1"/>
      <w:marLeft w:val="0"/>
      <w:marRight w:val="0"/>
      <w:marTop w:val="0"/>
      <w:marBottom w:val="0"/>
      <w:divBdr>
        <w:top w:val="none" w:sz="0" w:space="0" w:color="auto"/>
        <w:left w:val="none" w:sz="0" w:space="0" w:color="auto"/>
        <w:bottom w:val="none" w:sz="0" w:space="0" w:color="auto"/>
        <w:right w:val="none" w:sz="0" w:space="0" w:color="auto"/>
      </w:divBdr>
    </w:div>
    <w:div w:id="1310944191">
      <w:bodyDiv w:val="1"/>
      <w:marLeft w:val="0"/>
      <w:marRight w:val="0"/>
      <w:marTop w:val="0"/>
      <w:marBottom w:val="0"/>
      <w:divBdr>
        <w:top w:val="none" w:sz="0" w:space="0" w:color="auto"/>
        <w:left w:val="none" w:sz="0" w:space="0" w:color="auto"/>
        <w:bottom w:val="none" w:sz="0" w:space="0" w:color="auto"/>
        <w:right w:val="none" w:sz="0" w:space="0" w:color="auto"/>
      </w:divBdr>
    </w:div>
    <w:div w:id="1633250911">
      <w:bodyDiv w:val="1"/>
      <w:marLeft w:val="0"/>
      <w:marRight w:val="0"/>
      <w:marTop w:val="0"/>
      <w:marBottom w:val="0"/>
      <w:divBdr>
        <w:top w:val="none" w:sz="0" w:space="0" w:color="auto"/>
        <w:left w:val="none" w:sz="0" w:space="0" w:color="auto"/>
        <w:bottom w:val="none" w:sz="0" w:space="0" w:color="auto"/>
        <w:right w:val="none" w:sz="0" w:space="0" w:color="auto"/>
      </w:divBdr>
    </w:div>
    <w:div w:id="1943299956">
      <w:bodyDiv w:val="1"/>
      <w:marLeft w:val="0"/>
      <w:marRight w:val="0"/>
      <w:marTop w:val="0"/>
      <w:marBottom w:val="0"/>
      <w:divBdr>
        <w:top w:val="none" w:sz="0" w:space="0" w:color="auto"/>
        <w:left w:val="none" w:sz="0" w:space="0" w:color="auto"/>
        <w:bottom w:val="none" w:sz="0" w:space="0" w:color="auto"/>
        <w:right w:val="none" w:sz="0" w:space="0" w:color="auto"/>
      </w:divBdr>
    </w:div>
    <w:div w:id="1968462497">
      <w:bodyDiv w:val="1"/>
      <w:marLeft w:val="0"/>
      <w:marRight w:val="0"/>
      <w:marTop w:val="0"/>
      <w:marBottom w:val="0"/>
      <w:divBdr>
        <w:top w:val="none" w:sz="0" w:space="0" w:color="auto"/>
        <w:left w:val="none" w:sz="0" w:space="0" w:color="auto"/>
        <w:bottom w:val="none" w:sz="0" w:space="0" w:color="auto"/>
        <w:right w:val="none" w:sz="0" w:space="0" w:color="auto"/>
      </w:divBdr>
    </w:div>
    <w:div w:id="211905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ensae-ensai.fr" TargetMode="External"/><Relationship Id="rId3" Type="http://schemas.openxmlformats.org/officeDocument/2006/relationships/customXml" Target="../customXml/item3.xml"/><Relationship Id="rId21" Type="http://schemas.openxmlformats.org/officeDocument/2006/relationships/hyperlink" Target="mailto:mona.hassani@ekno.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roupe-genes.fr/genes.php" TargetMode="External"/><Relationship Id="rId2" Type="http://schemas.openxmlformats.org/officeDocument/2006/relationships/customXml" Target="../customXml/item2.xml"/><Relationship Id="rId16" Type="http://schemas.openxmlformats.org/officeDocument/2006/relationships/hyperlink" Target="http://www.ensae.fr" TargetMode="External"/><Relationship Id="rId20" Type="http://schemas.openxmlformats.org/officeDocument/2006/relationships/hyperlink" Target="http://www.ccomptes.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sae.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lecom-pari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ytechnique.edu" TargetMode="External"/><Relationship Id="rId22" Type="http://schemas.openxmlformats.org/officeDocument/2006/relationships/hyperlink" Target="mailto:murielle.mazau@ekn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764E26A7994B8A3CC1236DA7AA52" ma:contentTypeVersion="16" ma:contentTypeDescription="Crée un document." ma:contentTypeScope="" ma:versionID="8a97bc615a540ae3def640316b4c28b2">
  <xsd:schema xmlns:xsd="http://www.w3.org/2001/XMLSchema" xmlns:xs="http://www.w3.org/2001/XMLSchema" xmlns:p="http://schemas.microsoft.com/office/2006/metadata/properties" xmlns:ns3="0182aee4-0db9-44c5-83fb-8122b8444c28" xmlns:ns4="26f45dad-4398-4db6-925d-5b5eccf43be5" targetNamespace="http://schemas.microsoft.com/office/2006/metadata/properties" ma:root="true" ma:fieldsID="15683c455376d6ca4c3ff6aa4c85f93f" ns3:_="" ns4:_="">
    <xsd:import namespace="0182aee4-0db9-44c5-83fb-8122b8444c28"/>
    <xsd:import namespace="26f45dad-4398-4db6-925d-5b5eccf43be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aee4-0db9-44c5-83fb-8122b8444c2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45dad-4398-4db6-925d-5b5eccf43be5"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182aee4-0db9-44c5-83fb-8122b8444c28" xsi:nil="true"/>
  </documentManagement>
</p:properties>
</file>

<file path=customXml/itemProps1.xml><?xml version="1.0" encoding="utf-8"?>
<ds:datastoreItem xmlns:ds="http://schemas.openxmlformats.org/officeDocument/2006/customXml" ds:itemID="{46361ADF-253D-44F6-8884-587DD171C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aee4-0db9-44c5-83fb-8122b8444c28"/>
    <ds:schemaRef ds:uri="26f45dad-4398-4db6-925d-5b5eccf4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E8DF2-876D-2740-95AF-3C3EBECF9998}">
  <ds:schemaRefs>
    <ds:schemaRef ds:uri="http://schemas.openxmlformats.org/officeDocument/2006/bibliography"/>
  </ds:schemaRefs>
</ds:datastoreItem>
</file>

<file path=customXml/itemProps3.xml><?xml version="1.0" encoding="utf-8"?>
<ds:datastoreItem xmlns:ds="http://schemas.openxmlformats.org/officeDocument/2006/customXml" ds:itemID="{BFAFC76F-EBA4-464B-B8BA-D386EBA5E728}">
  <ds:schemaRefs>
    <ds:schemaRef ds:uri="http://schemas.microsoft.com/sharepoint/v3/contenttype/forms"/>
  </ds:schemaRefs>
</ds:datastoreItem>
</file>

<file path=customXml/itemProps4.xml><?xml version="1.0" encoding="utf-8"?>
<ds:datastoreItem xmlns:ds="http://schemas.openxmlformats.org/officeDocument/2006/customXml" ds:itemID="{93A41125-287C-49C7-A879-1925476CE76D}">
  <ds:schemaRefs>
    <ds:schemaRef ds:uri="http://schemas.microsoft.com/office/2006/metadata/properties"/>
    <ds:schemaRef ds:uri="http://schemas.microsoft.com/office/infopath/2007/PartnerControls"/>
    <ds:schemaRef ds:uri="0182aee4-0db9-44c5-83fb-8122b8444c2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1457</Words>
  <Characters>8018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9457</CharactersWithSpaces>
  <SharedDoc>false</SharedDoc>
  <HLinks>
    <vt:vector size="36" baseType="variant">
      <vt:variant>
        <vt:i4>7864344</vt:i4>
      </vt:variant>
      <vt:variant>
        <vt:i4>18</vt:i4>
      </vt:variant>
      <vt:variant>
        <vt:i4>0</vt:i4>
      </vt:variant>
      <vt:variant>
        <vt:i4>5</vt:i4>
      </vt:variant>
      <vt:variant>
        <vt:lpwstr>mailto:murielle.mazau@ekno.fr</vt:lpwstr>
      </vt:variant>
      <vt:variant>
        <vt:lpwstr/>
      </vt:variant>
      <vt:variant>
        <vt:i4>1114226</vt:i4>
      </vt:variant>
      <vt:variant>
        <vt:i4>15</vt:i4>
      </vt:variant>
      <vt:variant>
        <vt:i4>0</vt:i4>
      </vt:variant>
      <vt:variant>
        <vt:i4>5</vt:i4>
      </vt:variant>
      <vt:variant>
        <vt:lpwstr>mailto:mona.hassani@ekno.fr</vt:lpwstr>
      </vt:variant>
      <vt:variant>
        <vt:lpwstr/>
      </vt:variant>
      <vt:variant>
        <vt:i4>393283</vt:i4>
      </vt:variant>
      <vt:variant>
        <vt:i4>12</vt:i4>
      </vt:variant>
      <vt:variant>
        <vt:i4>0</vt:i4>
      </vt:variant>
      <vt:variant>
        <vt:i4>5</vt:i4>
      </vt:variant>
      <vt:variant>
        <vt:lpwstr>https://groupe-genes.fr/genes.php</vt:lpwstr>
      </vt:variant>
      <vt:variant>
        <vt:lpwstr/>
      </vt:variant>
      <vt:variant>
        <vt:i4>4259857</vt:i4>
      </vt:variant>
      <vt:variant>
        <vt:i4>9</vt:i4>
      </vt:variant>
      <vt:variant>
        <vt:i4>0</vt:i4>
      </vt:variant>
      <vt:variant>
        <vt:i4>5</vt:i4>
      </vt:variant>
      <vt:variant>
        <vt:lpwstr>mailto:https://crest.science/</vt:lpwstr>
      </vt:variant>
      <vt:variant>
        <vt:lpwstr/>
      </vt:variant>
      <vt:variant>
        <vt:i4>1769557</vt:i4>
      </vt:variant>
      <vt:variant>
        <vt:i4>6</vt:i4>
      </vt:variant>
      <vt:variant>
        <vt:i4>0</vt:i4>
      </vt:variant>
      <vt:variant>
        <vt:i4>5</vt:i4>
      </vt:variant>
      <vt:variant>
        <vt:lpwstr>https://www.ensae.fr/</vt:lpwstr>
      </vt:variant>
      <vt:variant>
        <vt:lpwstr/>
      </vt:variant>
      <vt:variant>
        <vt:i4>4784212</vt:i4>
      </vt:variant>
      <vt:variant>
        <vt:i4>3</vt:i4>
      </vt:variant>
      <vt:variant>
        <vt:i4>0</vt:i4>
      </vt:variant>
      <vt:variant>
        <vt:i4>5</vt:i4>
      </vt:variant>
      <vt:variant>
        <vt:lpwstr>https://newsroom.allianz.fr/allianz-france-la-fondation-du-risque-et-lensae-paris-lancent-une-chaire-sur-lassurabilite-des-risques-emergents/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MAZAU</dc:creator>
  <cp:keywords/>
  <dc:description/>
  <cp:lastModifiedBy>MONTIGNY Vincent</cp:lastModifiedBy>
  <cp:revision>3</cp:revision>
  <cp:lastPrinted>2025-11-12T22:07:00Z</cp:lastPrinted>
  <dcterms:created xsi:type="dcterms:W3CDTF">2026-07-02T10:31:00Z</dcterms:created>
  <dcterms:modified xsi:type="dcterms:W3CDTF">2026-07-02T10:31:00Z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0x010100434E764E26A7994B8A3CC1236DA7AA52</vt:lpwstr>
  </property>
  <property fmtid="{D5CDD505-2E9C-101B-9397-08002B2CF9AE}" pid="3" name="MediaServiceImageTags">
    <vt:lpwstr/>
  </property>
</Properties>
</file>